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hint="eastAsia" w:ascii="微软雅黑" w:hAnsi="微软雅黑" w:eastAsia="微软雅黑" w:cs="微软雅黑"/>
          <w:b/>
          <w:bCs/>
          <w:sz w:val="32"/>
          <w:szCs w:val="40"/>
        </w:rPr>
      </w:pPr>
      <w:r>
        <w:rPr>
          <w:rFonts w:hint="eastAsia" w:ascii="微软雅黑" w:hAnsi="微软雅黑" w:eastAsia="微软雅黑" w:cs="微软雅黑"/>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1905</wp:posOffset>
                </wp:positionV>
                <wp:extent cx="5290820" cy="8255"/>
                <wp:effectExtent l="0" t="0" r="0" b="0"/>
                <wp:wrapNone/>
                <wp:docPr id="4" name="直接连接符 4"/>
                <wp:cNvGraphicFramePr/>
                <a:graphic xmlns:a="http://schemas.openxmlformats.org/drawingml/2006/main">
                  <a:graphicData uri="http://schemas.microsoft.com/office/word/2010/wordprocessingShape">
                    <wps:wsp>
                      <wps:cNvCnPr/>
                      <wps:spPr>
                        <a:xfrm>
                          <a:off x="935990" y="919480"/>
                          <a:ext cx="5290820" cy="8255"/>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0.15pt;height:0.65pt;width:416.6pt;z-index:251659264;mso-width-relative:page;mso-height-relative:page;" filled="f" stroked="t" coordsize="21600,21600" o:gfxdata="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F2qvrTAAAAAwEAAA8AAAAAAAAAAQAgAAAAIgAAAGRycy9kb3ducmV2LnhtbFBLAQIUABQAAAAI&#10;AIdO4kDD1dwH8gEAAMADAAAOAAAAAAAAAAEAIAAAACIBAABkcnMvZTJvRG9jLnhtbFBLBQYAAAAA&#10;BgAGAFkBAACGBQAAAAA=&#10;">
                <v:fill on="f" focussize="0,0"/>
                <v:stroke weight="1pt" color="#000000 [3213]" miterlimit="8" joinstyle="miter" dashstyle="1 1"/>
                <v:imagedata o:title=""/>
                <o:lock v:ext="edit" aspectratio="f"/>
              </v:line>
            </w:pict>
          </mc:Fallback>
        </mc:AlternateContent>
      </w:r>
      <w:r>
        <w:rPr>
          <w:rFonts w:hint="eastAsia" w:ascii="微软雅黑" w:hAnsi="微软雅黑" w:eastAsia="微软雅黑" w:cs="微软雅黑"/>
          <w:b/>
          <w:bCs/>
          <w:sz w:val="32"/>
          <w:szCs w:val="40"/>
        </w:rPr>
        <w:t>数字突破•坚定增长</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微软雅黑" w:hAnsi="微软雅黑" w:eastAsia="微软雅黑" w:cs="微软雅黑"/>
          <w:b/>
          <w:bCs/>
          <w:sz w:val="28"/>
          <w:szCs w:val="36"/>
        </w:rPr>
      </w:pPr>
      <w:r>
        <w:rPr>
          <w:rFonts w:hint="eastAsia" w:ascii="微软雅黑" w:hAnsi="微软雅黑" w:eastAsia="微软雅黑" w:cs="微软雅黑"/>
          <w:b/>
          <w:bCs/>
          <w:sz w:val="28"/>
          <w:szCs w:val="36"/>
        </w:rPr>
        <w:t>2023中国家电创新零售峰会</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微软雅黑" w:hAnsi="微软雅黑" w:eastAsia="微软雅黑" w:cs="微软雅黑"/>
          <w:b/>
          <w:bCs/>
          <w:color w:val="2F5496"/>
          <w:sz w:val="28"/>
          <w:szCs w:val="36"/>
          <w:lang w:val="en-US" w:eastAsia="zh-CN"/>
        </w:rPr>
      </w:pPr>
      <w:r>
        <w:rPr>
          <w:rFonts w:hint="eastAsia" w:ascii="微软雅黑" w:hAnsi="微软雅黑" w:eastAsia="微软雅黑" w:cs="微软雅黑"/>
          <w:b/>
          <w:bCs/>
          <w:color w:val="2F5496"/>
          <w:sz w:val="28"/>
          <w:szCs w:val="36"/>
          <w:lang w:val="en-US" w:eastAsia="zh-CN"/>
        </w:rPr>
        <w:t xml:space="preserve">申 报 </w:t>
      </w:r>
      <w:bookmarkStart w:id="0" w:name="_GoBack"/>
      <w:bookmarkEnd w:id="0"/>
      <w:r>
        <w:rPr>
          <w:rFonts w:hint="eastAsia" w:ascii="微软雅黑" w:hAnsi="微软雅黑" w:eastAsia="微软雅黑" w:cs="微软雅黑"/>
          <w:b/>
          <w:bCs/>
          <w:color w:val="2F5496"/>
          <w:sz w:val="28"/>
          <w:szCs w:val="36"/>
          <w:lang w:val="en-US" w:eastAsia="zh-CN"/>
        </w:rPr>
        <w:t>表</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微软雅黑" w:hAnsi="微软雅黑" w:eastAsia="微软雅黑" w:cs="微软雅黑"/>
          <w:b/>
          <w:bCs/>
          <w:color w:val="2F5496"/>
          <w:sz w:val="28"/>
          <w:szCs w:val="36"/>
          <w:lang w:val="en-US" w:eastAsia="zh-CN"/>
        </w:rPr>
      </w:pPr>
    </w:p>
    <w:tbl>
      <w:tblPr>
        <w:tblStyle w:val="6"/>
        <w:tblW w:w="8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065"/>
        <w:gridCol w:w="2535"/>
        <w:gridCol w:w="1590"/>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57" w:type="dxa"/>
            <w:gridSpan w:val="2"/>
            <w:vAlign w:val="center"/>
          </w:tcPr>
          <w:p>
            <w:pPr>
              <w:snapToGrid w:val="0"/>
              <w:jc w:val="center"/>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公司名称</w:t>
            </w:r>
          </w:p>
        </w:tc>
        <w:tc>
          <w:tcPr>
            <w:tcW w:w="2535" w:type="dxa"/>
            <w:vAlign w:val="center"/>
          </w:tcPr>
          <w:p>
            <w:pPr>
              <w:snapToGrid w:val="0"/>
              <w:jc w:val="center"/>
              <w:rPr>
                <w:rFonts w:hint="eastAsia" w:ascii="微软雅黑" w:hAnsi="微软雅黑" w:eastAsia="微软雅黑" w:cs="微软雅黑"/>
                <w:b/>
                <w:bCs/>
                <w:sz w:val="21"/>
                <w:szCs w:val="21"/>
              </w:rPr>
            </w:pPr>
          </w:p>
        </w:tc>
        <w:tc>
          <w:tcPr>
            <w:tcW w:w="1590" w:type="dxa"/>
            <w:vAlign w:val="center"/>
          </w:tcPr>
          <w:p>
            <w:pPr>
              <w:snapToGrid w:val="0"/>
              <w:jc w:val="center"/>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品牌</w:t>
            </w:r>
          </w:p>
        </w:tc>
        <w:tc>
          <w:tcPr>
            <w:tcW w:w="2386" w:type="dxa"/>
            <w:vAlign w:val="center"/>
          </w:tcPr>
          <w:p>
            <w:pPr>
              <w:snapToGrid w:val="0"/>
              <w:jc w:val="center"/>
              <w:rPr>
                <w:rFonts w:hint="eastAsia" w:ascii="微软雅黑" w:hAnsi="微软雅黑" w:eastAsia="微软雅黑" w:cs="微软雅黑"/>
                <w:b/>
                <w:bCs/>
                <w:sz w:val="24"/>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57" w:type="dxa"/>
            <w:gridSpan w:val="2"/>
            <w:vAlign w:val="center"/>
          </w:tcPr>
          <w:p>
            <w:pPr>
              <w:snapToGrid w:val="0"/>
              <w:jc w:val="center"/>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姓名</w:t>
            </w:r>
          </w:p>
        </w:tc>
        <w:tc>
          <w:tcPr>
            <w:tcW w:w="2535" w:type="dxa"/>
            <w:vAlign w:val="center"/>
          </w:tcPr>
          <w:p>
            <w:pPr>
              <w:snapToGrid w:val="0"/>
              <w:jc w:val="center"/>
              <w:rPr>
                <w:rFonts w:hint="eastAsia" w:ascii="微软雅黑" w:hAnsi="微软雅黑" w:eastAsia="微软雅黑" w:cs="微软雅黑"/>
                <w:b/>
                <w:bCs/>
                <w:sz w:val="21"/>
                <w:szCs w:val="21"/>
              </w:rPr>
            </w:pPr>
          </w:p>
        </w:tc>
        <w:tc>
          <w:tcPr>
            <w:tcW w:w="1590" w:type="dxa"/>
            <w:vAlign w:val="center"/>
          </w:tcPr>
          <w:p>
            <w:pPr>
              <w:snapToGrid w:val="0"/>
              <w:jc w:val="center"/>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职务</w:t>
            </w:r>
          </w:p>
        </w:tc>
        <w:tc>
          <w:tcPr>
            <w:tcW w:w="2386" w:type="dxa"/>
            <w:vAlign w:val="center"/>
          </w:tcPr>
          <w:p>
            <w:pPr>
              <w:snapToGrid w:val="0"/>
              <w:jc w:val="center"/>
              <w:rPr>
                <w:rFonts w:hint="eastAsia" w:ascii="微软雅黑" w:hAnsi="微软雅黑" w:eastAsia="微软雅黑" w:cs="微软雅黑"/>
                <w:b/>
                <w:bCs/>
                <w:sz w:val="24"/>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57" w:type="dxa"/>
            <w:gridSpan w:val="2"/>
            <w:vAlign w:val="center"/>
          </w:tcPr>
          <w:p>
            <w:pPr>
              <w:snapToGrid w:val="0"/>
              <w:jc w:val="center"/>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邮箱</w:t>
            </w:r>
          </w:p>
        </w:tc>
        <w:tc>
          <w:tcPr>
            <w:tcW w:w="2535" w:type="dxa"/>
            <w:vAlign w:val="center"/>
          </w:tcPr>
          <w:p>
            <w:pPr>
              <w:snapToGrid w:val="0"/>
              <w:jc w:val="center"/>
              <w:rPr>
                <w:rFonts w:hint="eastAsia" w:ascii="微软雅黑" w:hAnsi="微软雅黑" w:eastAsia="微软雅黑" w:cs="微软雅黑"/>
                <w:b/>
                <w:bCs/>
                <w:sz w:val="21"/>
                <w:szCs w:val="21"/>
              </w:rPr>
            </w:pPr>
          </w:p>
        </w:tc>
        <w:tc>
          <w:tcPr>
            <w:tcW w:w="1590" w:type="dxa"/>
            <w:vAlign w:val="center"/>
          </w:tcPr>
          <w:p>
            <w:pPr>
              <w:snapToGrid w:val="0"/>
              <w:jc w:val="center"/>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电话</w:t>
            </w:r>
          </w:p>
        </w:tc>
        <w:tc>
          <w:tcPr>
            <w:tcW w:w="2386" w:type="dxa"/>
            <w:vAlign w:val="center"/>
          </w:tcPr>
          <w:p>
            <w:pPr>
              <w:snapToGrid w:val="0"/>
              <w:jc w:val="center"/>
              <w:rPr>
                <w:rFonts w:hint="eastAsia" w:ascii="微软雅黑" w:hAnsi="微软雅黑" w:eastAsia="微软雅黑" w:cs="微软雅黑"/>
                <w:b/>
                <w:bCs/>
                <w:sz w:val="24"/>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exact"/>
          <w:jc w:val="center"/>
        </w:trPr>
        <w:tc>
          <w:tcPr>
            <w:tcW w:w="692" w:type="dxa"/>
            <w:vMerge w:val="restart"/>
            <w:vAlign w:val="center"/>
          </w:tcPr>
          <w:p>
            <w:pPr>
              <w:snapToGrid w:val="0"/>
              <w:jc w:val="center"/>
              <w:rPr>
                <w:rFonts w:hint="eastAsia" w:ascii="微软雅黑" w:hAnsi="微软雅黑" w:eastAsia="微软雅黑" w:cs="微软雅黑"/>
                <w:b/>
                <w:bCs/>
                <w:sz w:val="21"/>
                <w:szCs w:val="21"/>
                <w:lang w:val="en-US" w:eastAsia="zh-CN"/>
              </w:rPr>
            </w:pPr>
          </w:p>
          <w:p>
            <w:pPr>
              <w:snapToGrid w:val="0"/>
              <w:jc w:val="center"/>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奖</w:t>
            </w:r>
          </w:p>
          <w:p>
            <w:pPr>
              <w:snapToGrid w:val="0"/>
              <w:jc w:val="center"/>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项</w:t>
            </w:r>
          </w:p>
          <w:p>
            <w:pPr>
              <w:snapToGrid w:val="0"/>
              <w:jc w:val="center"/>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申</w:t>
            </w:r>
          </w:p>
          <w:p>
            <w:pPr>
              <w:snapToGrid w:val="0"/>
              <w:jc w:val="center"/>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报</w:t>
            </w:r>
          </w:p>
          <w:p>
            <w:pPr>
              <w:snapToGrid w:val="0"/>
              <w:jc w:val="center"/>
              <w:rPr>
                <w:rFonts w:hint="eastAsia" w:ascii="微软雅黑" w:hAnsi="微软雅黑" w:eastAsia="微软雅黑" w:cs="微软雅黑"/>
                <w:b/>
                <w:bCs/>
                <w:sz w:val="21"/>
                <w:szCs w:val="21"/>
                <w:lang w:val="en-US" w:eastAsia="zh-CN"/>
              </w:rPr>
            </w:pPr>
          </w:p>
        </w:tc>
        <w:tc>
          <w:tcPr>
            <w:tcW w:w="1065" w:type="dxa"/>
            <w:vAlign w:val="center"/>
          </w:tcPr>
          <w:p>
            <w:pPr>
              <w:snapToGrid w:val="0"/>
              <w:jc w:val="center"/>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渠道商</w:t>
            </w:r>
          </w:p>
        </w:tc>
        <w:tc>
          <w:tcPr>
            <w:tcW w:w="6511" w:type="dxa"/>
            <w:gridSpan w:val="3"/>
            <w:vAlign w:val="center"/>
          </w:tcPr>
          <w:p>
            <w:pPr>
              <w:snapToGrid w:val="0"/>
              <w:spacing w:line="240" w:lineRule="auto"/>
              <w:ind w:firstLine="720" w:firstLineChars="300"/>
              <w:jc w:val="left"/>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4"/>
                <w:szCs w:val="24"/>
                <w:lang w:val="en-US" w:eastAsia="zh-CN"/>
              </w:rPr>
              <w:sym w:font="Wingdings 2" w:char="00A3"/>
            </w:r>
            <w:r>
              <w:rPr>
                <w:rFonts w:hint="eastAsia" w:ascii="微软雅黑" w:hAnsi="微软雅黑" w:eastAsia="微软雅黑" w:cs="微软雅黑"/>
                <w:b/>
                <w:bCs/>
                <w:sz w:val="21"/>
                <w:szCs w:val="21"/>
                <w:lang w:val="en-US" w:eastAsia="zh-CN"/>
              </w:rPr>
              <w:t xml:space="preserve">  2023中国家电创新零售 优秀案例奖</w:t>
            </w:r>
          </w:p>
          <w:p>
            <w:pPr>
              <w:snapToGrid w:val="0"/>
              <w:spacing w:line="240" w:lineRule="auto"/>
              <w:ind w:firstLine="720" w:firstLineChars="300"/>
              <w:jc w:val="left"/>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4"/>
                <w:szCs w:val="24"/>
                <w:lang w:val="en-US" w:eastAsia="zh-CN"/>
              </w:rPr>
              <w:sym w:font="Wingdings 2" w:char="00A3"/>
            </w:r>
            <w:r>
              <w:rPr>
                <w:rFonts w:hint="eastAsia" w:ascii="微软雅黑" w:hAnsi="微软雅黑" w:eastAsia="微软雅黑" w:cs="微软雅黑"/>
                <w:b/>
                <w:bCs/>
                <w:sz w:val="21"/>
                <w:szCs w:val="21"/>
                <w:lang w:val="en-US" w:eastAsia="zh-CN"/>
              </w:rPr>
              <w:t xml:space="preserve">  2023中国家电创新零售 先锋品牌奖</w:t>
            </w:r>
          </w:p>
          <w:p>
            <w:pPr>
              <w:snapToGrid w:val="0"/>
              <w:spacing w:line="240" w:lineRule="auto"/>
              <w:ind w:firstLine="720" w:firstLineChars="300"/>
              <w:jc w:val="left"/>
              <w:rPr>
                <w:rFonts w:hint="eastAsia" w:ascii="微软雅黑" w:hAnsi="微软雅黑" w:eastAsia="微软雅黑" w:cs="微软雅黑"/>
                <w:b/>
                <w:bCs/>
                <w:sz w:val="21"/>
                <w:szCs w:val="21"/>
              </w:rPr>
            </w:pPr>
            <w:r>
              <w:rPr>
                <w:rFonts w:hint="eastAsia" w:ascii="微软雅黑" w:hAnsi="微软雅黑" w:eastAsia="微软雅黑" w:cs="微软雅黑"/>
                <w:b/>
                <w:bCs/>
                <w:sz w:val="24"/>
                <w:szCs w:val="24"/>
                <w:lang w:val="en-US" w:eastAsia="zh-CN"/>
              </w:rPr>
              <w:sym w:font="Wingdings 2" w:char="00A3"/>
            </w:r>
            <w:r>
              <w:rPr>
                <w:rFonts w:hint="eastAsia" w:ascii="微软雅黑" w:hAnsi="微软雅黑" w:eastAsia="微软雅黑" w:cs="微软雅黑"/>
                <w:b/>
                <w:bCs/>
                <w:sz w:val="21"/>
                <w:szCs w:val="21"/>
                <w:lang w:val="en-US" w:eastAsia="zh-CN"/>
              </w:rPr>
              <w:t xml:space="preserve">  2023中国家电创新零售 渠道贡献奖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692" w:type="dxa"/>
            <w:vMerge w:val="continue"/>
            <w:vAlign w:val="center"/>
          </w:tcPr>
          <w:p>
            <w:pPr>
              <w:snapToGrid w:val="0"/>
              <w:jc w:val="center"/>
              <w:rPr>
                <w:rFonts w:hint="eastAsia" w:ascii="微软雅黑" w:hAnsi="微软雅黑" w:eastAsia="微软雅黑" w:cs="微软雅黑"/>
                <w:b/>
                <w:bCs/>
                <w:sz w:val="21"/>
                <w:szCs w:val="21"/>
                <w:lang w:val="en-US" w:eastAsia="zh-CN"/>
              </w:rPr>
            </w:pPr>
          </w:p>
        </w:tc>
        <w:tc>
          <w:tcPr>
            <w:tcW w:w="1065" w:type="dxa"/>
            <w:vAlign w:val="center"/>
          </w:tcPr>
          <w:p>
            <w:pPr>
              <w:snapToGrid w:val="0"/>
              <w:jc w:val="center"/>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制造商</w:t>
            </w:r>
          </w:p>
        </w:tc>
        <w:tc>
          <w:tcPr>
            <w:tcW w:w="6511" w:type="dxa"/>
            <w:gridSpan w:val="3"/>
            <w:vAlign w:val="center"/>
          </w:tcPr>
          <w:p>
            <w:pPr>
              <w:snapToGrid w:val="0"/>
              <w:spacing w:line="240" w:lineRule="auto"/>
              <w:ind w:firstLine="720" w:firstLineChars="300"/>
              <w:jc w:val="left"/>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4"/>
                <w:szCs w:val="24"/>
                <w:lang w:val="en-US" w:eastAsia="zh-CN"/>
              </w:rPr>
              <w:sym w:font="Wingdings 2" w:char="00A3"/>
            </w:r>
            <w:r>
              <w:rPr>
                <w:rFonts w:hint="eastAsia" w:ascii="微软雅黑" w:hAnsi="微软雅黑" w:eastAsia="微软雅黑" w:cs="微软雅黑"/>
                <w:b/>
                <w:bCs/>
                <w:sz w:val="21"/>
                <w:szCs w:val="21"/>
                <w:lang w:val="en-US" w:eastAsia="zh-CN"/>
              </w:rPr>
              <w:t xml:space="preserve">  2023中国家电创新零售 优秀案例奖</w:t>
            </w:r>
          </w:p>
          <w:p>
            <w:pPr>
              <w:snapToGrid w:val="0"/>
              <w:spacing w:line="240" w:lineRule="auto"/>
              <w:ind w:firstLine="720" w:firstLineChars="300"/>
              <w:jc w:val="left"/>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4"/>
                <w:szCs w:val="24"/>
                <w:lang w:val="en-US" w:eastAsia="zh-CN"/>
              </w:rPr>
              <w:sym w:font="Wingdings 2" w:char="00A3"/>
            </w:r>
            <w:r>
              <w:rPr>
                <w:rFonts w:hint="eastAsia" w:ascii="微软雅黑" w:hAnsi="微软雅黑" w:eastAsia="微软雅黑" w:cs="微软雅黑"/>
                <w:b/>
                <w:bCs/>
                <w:sz w:val="21"/>
                <w:szCs w:val="21"/>
                <w:lang w:val="en-US" w:eastAsia="zh-CN"/>
              </w:rPr>
              <w:t xml:space="preserve">  2023中国家电创新零售 先锋品牌奖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2" w:hRule="exact"/>
          <w:jc w:val="center"/>
        </w:trPr>
        <w:tc>
          <w:tcPr>
            <w:tcW w:w="1757" w:type="dxa"/>
            <w:gridSpan w:val="2"/>
            <w:vAlign w:val="center"/>
          </w:tcPr>
          <w:p>
            <w:pPr>
              <w:snapToGrid w:val="0"/>
              <w:jc w:val="center"/>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申报说明</w:t>
            </w:r>
          </w:p>
        </w:tc>
        <w:tc>
          <w:tcPr>
            <w:tcW w:w="6511" w:type="dxa"/>
            <w:gridSpan w:val="3"/>
            <w:vAlign w:val="center"/>
          </w:tcPr>
          <w:p>
            <w:pPr>
              <w:rPr>
                <w:rFonts w:hint="eastAsia"/>
                <w:lang w:val="en-US" w:eastAsia="zh-CN"/>
              </w:rPr>
            </w:pPr>
            <w:r>
              <w:rPr>
                <w:rFonts w:hint="eastAsia"/>
                <w:lang w:val="en-US" w:eastAsia="zh-CN"/>
              </w:rPr>
              <w:t>一、优秀案例奖申报说明：</w:t>
            </w:r>
          </w:p>
          <w:p>
            <w:pPr>
              <w:rPr>
                <w:rFonts w:hint="eastAsia"/>
                <w:lang w:val="en-US" w:eastAsia="zh-CN"/>
              </w:rPr>
            </w:pPr>
            <w:r>
              <w:rPr>
                <w:rFonts w:hint="eastAsia"/>
                <w:lang w:val="en-US" w:eastAsia="zh-CN"/>
              </w:rPr>
              <w:t>各渠道/家电企业在以下领域的探索及实践（要求以2022年度为主，不局限于以下10条）</w:t>
            </w:r>
          </w:p>
          <w:p>
            <w:pPr>
              <w:rPr>
                <w:rFonts w:hint="eastAsia"/>
                <w:lang w:val="en-US" w:eastAsia="zh-CN"/>
              </w:rPr>
            </w:pPr>
            <w:r>
              <w:rPr>
                <w:rFonts w:hint="eastAsia"/>
                <w:lang w:val="en-US" w:eastAsia="zh-CN"/>
              </w:rPr>
              <w:t>通过创新零售达成多少销售额度（或其它量化指标，能反映创新零售带来的业绩增长），其中关于家电部分，创新零售能达成多少销售额度和同比增长率</w:t>
            </w:r>
          </w:p>
          <w:p>
            <w:pPr>
              <w:rPr>
                <w:rFonts w:hint="eastAsia"/>
                <w:lang w:val="en-US" w:eastAsia="zh-CN"/>
              </w:rPr>
            </w:pPr>
            <w:r>
              <w:rPr>
                <w:rFonts w:hint="eastAsia"/>
                <w:lang w:val="en-US" w:eastAsia="zh-CN"/>
              </w:rPr>
              <w:t>2、构建线上、线下融合的实践及创新形式</w:t>
            </w:r>
          </w:p>
          <w:p>
            <w:pPr>
              <w:rPr>
                <w:rFonts w:hint="eastAsia"/>
                <w:lang w:val="en-US" w:eastAsia="zh-CN"/>
              </w:rPr>
            </w:pPr>
            <w:r>
              <w:rPr>
                <w:rFonts w:hint="eastAsia"/>
                <w:lang w:val="en-US" w:eastAsia="zh-CN"/>
              </w:rPr>
              <w:t>3、多业态跨界协同</w:t>
            </w:r>
          </w:p>
          <w:p>
            <w:pPr>
              <w:rPr>
                <w:rFonts w:hint="eastAsia"/>
                <w:lang w:val="en-US" w:eastAsia="zh-CN"/>
              </w:rPr>
            </w:pPr>
            <w:r>
              <w:rPr>
                <w:rFonts w:hint="eastAsia"/>
                <w:lang w:val="en-US" w:eastAsia="zh-CN"/>
              </w:rPr>
              <w:t>4、打造场景化零售模式</w:t>
            </w:r>
          </w:p>
          <w:p>
            <w:pPr>
              <w:rPr>
                <w:rFonts w:hint="eastAsia"/>
                <w:lang w:val="en-US" w:eastAsia="zh-CN"/>
              </w:rPr>
            </w:pPr>
            <w:r>
              <w:rPr>
                <w:rFonts w:hint="eastAsia"/>
                <w:lang w:val="en-US" w:eastAsia="zh-CN"/>
              </w:rPr>
              <w:t>5、建设智能、高效供应链体系</w:t>
            </w:r>
          </w:p>
          <w:p>
            <w:pPr>
              <w:rPr>
                <w:rFonts w:hint="eastAsia"/>
                <w:lang w:val="en-US" w:eastAsia="zh-CN"/>
              </w:rPr>
            </w:pPr>
            <w:r>
              <w:rPr>
                <w:rFonts w:hint="eastAsia"/>
                <w:lang w:val="en-US" w:eastAsia="zh-CN"/>
              </w:rPr>
              <w:t>6、布局社区商业体系</w:t>
            </w:r>
          </w:p>
          <w:p>
            <w:pPr>
              <w:rPr>
                <w:rFonts w:hint="eastAsia"/>
                <w:lang w:val="en-US" w:eastAsia="zh-CN"/>
              </w:rPr>
            </w:pPr>
            <w:r>
              <w:rPr>
                <w:rFonts w:hint="eastAsia"/>
                <w:lang w:val="en-US" w:eastAsia="zh-CN"/>
              </w:rPr>
              <w:t>7、新型社交电商</w:t>
            </w:r>
          </w:p>
          <w:p>
            <w:pPr>
              <w:rPr>
                <w:rFonts w:hint="eastAsia"/>
                <w:lang w:val="en-US" w:eastAsia="zh-CN"/>
              </w:rPr>
            </w:pPr>
            <w:r>
              <w:rPr>
                <w:rFonts w:hint="eastAsia"/>
                <w:lang w:val="en-US" w:eastAsia="zh-CN"/>
              </w:rPr>
              <w:t>8、深挖数据资源，利用大数据营销</w:t>
            </w:r>
          </w:p>
          <w:p>
            <w:pPr>
              <w:rPr>
                <w:rFonts w:hint="eastAsia"/>
                <w:lang w:val="en-US" w:eastAsia="zh-CN"/>
              </w:rPr>
            </w:pPr>
            <w:r>
              <w:rPr>
                <w:rFonts w:hint="eastAsia"/>
                <w:lang w:val="en-US" w:eastAsia="zh-CN"/>
              </w:rPr>
              <w:t>9、基于对用户洞察方面所带来的突破</w:t>
            </w:r>
          </w:p>
          <w:p>
            <w:pPr>
              <w:rPr>
                <w:rFonts w:hint="eastAsia"/>
                <w:lang w:val="en-US" w:eastAsia="zh-CN"/>
              </w:rPr>
            </w:pPr>
            <w:r>
              <w:rPr>
                <w:rFonts w:hint="eastAsia"/>
                <w:lang w:val="en-US" w:eastAsia="zh-CN"/>
              </w:rPr>
              <w:t>10、典型案例</w:t>
            </w:r>
          </w:p>
          <w:p>
            <w:pPr>
              <w:rPr>
                <w:rFonts w:hint="eastAsia"/>
                <w:lang w:val="en-US" w:eastAsia="zh-CN"/>
              </w:rPr>
            </w:pPr>
            <w:r>
              <w:rPr>
                <w:rFonts w:hint="eastAsia"/>
                <w:lang w:val="en-US" w:eastAsia="zh-CN"/>
              </w:rPr>
              <w:t>二、先锋品牌奖/渠道贡献奖申报说明：</w:t>
            </w:r>
          </w:p>
          <w:p>
            <w:pPr>
              <w:rPr>
                <w:rFonts w:hint="eastAsia"/>
                <w:lang w:val="en-US" w:eastAsia="zh-CN"/>
              </w:rPr>
            </w:pPr>
            <w:r>
              <w:rPr>
                <w:rFonts w:hint="eastAsia"/>
                <w:lang w:val="en-US" w:eastAsia="zh-CN"/>
              </w:rPr>
              <w:t>基于“优秀案例奖”，体现品牌/渠道在创新零售领域进行的积极探索及实践。</w:t>
            </w:r>
          </w:p>
          <w:p>
            <w:pPr>
              <w:snapToGrid w:val="0"/>
              <w:jc w:val="center"/>
              <w:rPr>
                <w:rFonts w:hint="eastAsia" w:ascii="微软雅黑" w:hAnsi="微软雅黑" w:eastAsia="微软雅黑" w:cs="微软雅黑"/>
                <w:b/>
                <w:bCs/>
                <w:sz w:val="21"/>
                <w:szCs w:val="21"/>
                <w:lang w:val="en-US" w:eastAsia="zh-CN"/>
              </w:rPr>
            </w:pPr>
            <w:r>
              <w:rPr>
                <w:rFonts w:hint="eastAsia"/>
                <w:lang w:val="en-US" w:eastAsia="zh-CN"/>
              </w:rPr>
              <w:t>提交方式：Word文档（文字+图片）或PPT，可另附文件说明。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jc w:val="center"/>
        </w:trPr>
        <w:tc>
          <w:tcPr>
            <w:tcW w:w="8268" w:type="dxa"/>
            <w:gridSpan w:val="5"/>
            <w:vAlign w:val="center"/>
          </w:tcPr>
          <w:p>
            <w:pPr>
              <w:snapToGrid w:val="0"/>
              <w:jc w:val="center"/>
              <w:rPr>
                <w:rFonts w:hint="eastAsia" w:ascii="微软雅黑" w:hAnsi="微软雅黑" w:eastAsia="微软雅黑" w:cs="微软雅黑"/>
                <w:b w:val="0"/>
                <w:bCs w:val="0"/>
                <w:color w:val="0070C0"/>
                <w:sz w:val="20"/>
                <w:szCs w:val="20"/>
                <w:lang w:val="en-US" w:eastAsia="zh-CN"/>
              </w:rPr>
            </w:pPr>
            <w:r>
              <w:rPr>
                <w:rFonts w:hint="eastAsia" w:ascii="微软雅黑" w:hAnsi="微软雅黑" w:eastAsia="微软雅黑" w:cs="微软雅黑"/>
                <w:b/>
                <w:bCs/>
                <w:color w:val="auto"/>
                <w:sz w:val="20"/>
                <w:szCs w:val="20"/>
                <w:lang w:val="en-US" w:eastAsia="zh-CN"/>
              </w:rPr>
              <w:t>企业LOGO文件</w:t>
            </w:r>
            <w:r>
              <w:rPr>
                <w:rFonts w:hint="eastAsia" w:ascii="微软雅黑" w:hAnsi="微软雅黑" w:eastAsia="微软雅黑" w:cs="微软雅黑"/>
                <w:b w:val="0"/>
                <w:bCs w:val="0"/>
                <w:color w:val="auto"/>
                <w:sz w:val="20"/>
                <w:szCs w:val="20"/>
                <w:lang w:val="en-US" w:eastAsia="zh-CN"/>
              </w:rPr>
              <w:t>（AI或PSD格式，用于主视觉中LOGO体现）</w:t>
            </w:r>
          </w:p>
        </w:tc>
      </w:tr>
    </w:tbl>
    <w:p>
      <w:pPr>
        <w:snapToGrid w:val="0"/>
        <w:spacing w:before="156" w:beforeLines="50"/>
        <w:jc w:val="right"/>
        <w:rPr>
          <w:rFonts w:hint="default" w:ascii="微软雅黑" w:hAnsi="微软雅黑" w:eastAsia="微软雅黑" w:cs="微软雅黑"/>
          <w:b/>
          <w:bCs/>
          <w:color w:val="FF0000"/>
          <w:sz w:val="22"/>
          <w:szCs w:val="22"/>
          <w:lang w:val="en-US" w:eastAsia="zh-CN"/>
        </w:rPr>
      </w:pPr>
      <w:r>
        <w:rPr>
          <w:rFonts w:hint="eastAsia" w:ascii="微软雅黑" w:hAnsi="微软雅黑" w:eastAsia="微软雅黑" w:cs="微软雅黑"/>
          <w:b/>
          <w:bCs/>
          <w:color w:val="FF0000"/>
          <w:sz w:val="21"/>
          <w:szCs w:val="21"/>
          <w:lang w:val="en-US" w:eastAsia="zh-CN"/>
        </w:rPr>
        <w:t>*注：申报奖项由专家评审团初选、复选选出</w:t>
      </w:r>
    </w:p>
    <w:p>
      <w:pPr>
        <w:snapToGrid w:val="0"/>
        <w:spacing w:before="156" w:beforeLines="50"/>
        <w:jc w:val="left"/>
        <w:rPr>
          <w:rFonts w:hint="eastAsia" w:ascii="微软雅黑" w:hAnsi="微软雅黑" w:eastAsia="微软雅黑" w:cs="微软雅黑"/>
          <w:b/>
          <w:bCs/>
          <w:color w:val="auto"/>
          <w:sz w:val="22"/>
          <w:szCs w:val="22"/>
          <w:lang w:val="en-US" w:eastAsia="zh-CN"/>
        </w:rPr>
      </w:pPr>
    </w:p>
    <w:p>
      <w:pPr>
        <w:snapToGrid w:val="0"/>
        <w:spacing w:before="156" w:beforeLines="50"/>
        <w:jc w:val="left"/>
        <w:rPr>
          <w:rFonts w:hint="default" w:ascii="微软雅黑" w:hAnsi="微软雅黑" w:eastAsia="微软雅黑" w:cs="微软雅黑"/>
          <w:b/>
          <w:bCs/>
          <w:color w:val="auto"/>
          <w:sz w:val="22"/>
          <w:szCs w:val="22"/>
          <w:lang w:val="en-US" w:eastAsia="zh-CN"/>
        </w:rPr>
      </w:pPr>
      <w:r>
        <w:rPr>
          <w:rFonts w:hint="eastAsia" w:ascii="微软雅黑" w:hAnsi="微软雅黑" w:eastAsia="微软雅黑" w:cs="微软雅黑"/>
          <w:b/>
          <w:bCs/>
          <w:color w:val="auto"/>
          <w:sz w:val="22"/>
          <w:szCs w:val="22"/>
          <w:lang w:val="en-US" w:eastAsia="zh-CN"/>
        </w:rPr>
        <w:t>附：优秀零售申报内容示意</w:t>
      </w:r>
    </w:p>
    <w:p>
      <w:pPr>
        <w:snapToGrid w:val="0"/>
        <w:spacing w:before="156" w:beforeLines="50"/>
        <w:jc w:val="left"/>
        <w:rPr>
          <w:rFonts w:hint="eastAsia" w:ascii="微软雅黑" w:hAnsi="微软雅黑" w:eastAsia="微软雅黑" w:cs="微软雅黑"/>
          <w:b/>
          <w:bCs/>
          <w:color w:val="auto"/>
          <w:sz w:val="22"/>
          <w:szCs w:val="22"/>
          <w:lang w:val="en-US" w:eastAsia="zh-CN"/>
        </w:rPr>
      </w:pPr>
    </w:p>
    <w:tbl>
      <w:tblPr>
        <w:tblStyle w:val="6"/>
        <w:tblW w:w="8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6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1511" w:type="dxa"/>
            <w:vAlign w:val="center"/>
          </w:tcPr>
          <w:p>
            <w:pPr>
              <w:snapToGrid w:val="0"/>
              <w:jc w:val="center"/>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案例名称</w:t>
            </w:r>
          </w:p>
        </w:tc>
        <w:tc>
          <w:tcPr>
            <w:tcW w:w="6757" w:type="dxa"/>
            <w:vAlign w:val="center"/>
          </w:tcPr>
          <w:p>
            <w:pPr>
              <w:snapToGrid w:val="0"/>
              <w:spacing w:line="240" w:lineRule="auto"/>
              <w:ind w:firstLine="630" w:firstLineChars="300"/>
              <w:jc w:val="left"/>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val="0"/>
                <w:bCs w:val="0"/>
                <w:sz w:val="21"/>
                <w:szCs w:val="21"/>
                <w:lang w:val="en-US" w:eastAsia="zh-CN"/>
              </w:rPr>
              <w:t>THOMSON《猫妖的诱惑》联名洗地机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4" w:hRule="exact"/>
          <w:jc w:val="center"/>
        </w:trPr>
        <w:tc>
          <w:tcPr>
            <w:tcW w:w="1511" w:type="dxa"/>
            <w:vAlign w:val="center"/>
          </w:tcPr>
          <w:p>
            <w:pPr>
              <w:snapToGrid w:val="0"/>
              <w:jc w:val="center"/>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申报说明</w:t>
            </w:r>
          </w:p>
        </w:tc>
        <w:tc>
          <w:tcPr>
            <w:tcW w:w="6757" w:type="dxa"/>
            <w:vAlign w:val="center"/>
          </w:tcPr>
          <w:p>
            <w:pPr>
              <w:snapToGrid w:val="0"/>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 xml:space="preserve">   THOMSON基于《猫妖的诱惑》推出联名款洗地机，在颜值与功能等方面都满足品牌和动漫IP的多方面定位。</w:t>
            </w:r>
          </w:p>
          <w:p>
            <w:pPr>
              <w:snapToGrid w:val="0"/>
              <w:ind w:firstLine="420" w:firstLineChars="200"/>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阿瑞斯Ares系列洗地机巧妙运用古希腊神话中战神的名字彰显自己的独特气质。在家居清洁环境的过程中，智能语音和智能自清洁功能表现“战力”十足，大容量水箱轻松做到“百战不殆”，电解杀菌的功效助力守护干净无菌的居家环境，“攻守”兼备可使用户轻松对抗一切家庭地面清洁难题。</w:t>
            </w:r>
          </w:p>
          <w:p>
            <w:pPr>
              <w:snapToGrid w:val="0"/>
              <w:ind w:firstLine="420" w:firstLineChars="200"/>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在满足品牌风格和动漫特色的基础上，THOMSON也推出了其他相关衍生品。并制作了以《THOMSON地面清洁小剧场》为名的系列动漫小视频，在轻松幽默的小故事中，将THOMSON阿瑞斯系列洗地机与《猫妖的诱惑》相结合，但同时突出阿瑞斯系列洗地机的优势和特点，给THOMSON洗地机用户和动漫观众都留下了深刻的印象。</w:t>
            </w:r>
          </w:p>
          <w:p>
            <w:pPr>
              <w:snapToGrid w:val="0"/>
              <w:ind w:firstLine="420" w:firstLineChars="200"/>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目前，THOMSOM地面清洁小剧场及相关信息已经在品牌微信公众号、抖音官方号、小红书等网络社交平台投放，为阿瑞斯Ares系列洗地机带来一定热度的讨论，吸引了包括动漫粉丝在内的大量用户。今后，THOMSON也会制作洗地机的动漫IP联名产品宣传视频和产品联名手办等更多衍生周边，在IP联名合作领域做出更多尝试与更新。</w:t>
            </w:r>
          </w:p>
          <w:p>
            <w:pPr>
              <w:snapToGrid w:val="0"/>
              <w:ind w:firstLine="420" w:firstLineChars="200"/>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THOMSON地面清洁阿瑞斯Ares系列洗地机通过严谨精准的数据分析，准确选择《猫妖的诱惑》动漫IP进行联名合作，在跨界合作方面做出全新尝试。用将产品与IP深度捆绑的方式，吸引大量跨界观众的关注目光，同时配合推出衍生周边，使得更多普通流量用户可以关注THOMSON的品牌和产品。</w:t>
            </w:r>
          </w:p>
          <w:p>
            <w:pPr>
              <w:snapToGrid w:val="0"/>
              <w:jc w:val="left"/>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val="0"/>
                <w:bCs w:val="0"/>
                <w:sz w:val="21"/>
                <w:szCs w:val="21"/>
                <w:lang w:val="en-US" w:eastAsia="zh-CN"/>
              </w:rPr>
              <w:t>在地面清洁类产品中，THOMSON阿瑞斯系列洗地机跨界联名的勇敢尝试为自身和同行业伙伴都带来了新的思路和视野，这THOMSON一直以来的理念相一致：百年创新，从未止步。相信在未来THOMSON会为大家带来更多惊喜。</w:t>
            </w:r>
          </w:p>
        </w:tc>
      </w:tr>
    </w:tbl>
    <w:p>
      <w:pPr>
        <w:snapToGrid w:val="0"/>
        <w:spacing w:before="156" w:beforeLines="50"/>
        <w:jc w:val="left"/>
        <w:rPr>
          <w:rFonts w:hint="default" w:ascii="微软雅黑" w:hAnsi="微软雅黑" w:eastAsia="微软雅黑" w:cs="微软雅黑"/>
          <w:b/>
          <w:bCs/>
          <w:color w:val="FF0000"/>
          <w:sz w:val="22"/>
          <w:szCs w:val="22"/>
          <w:lang w:val="en-US" w:eastAsia="zh-CN"/>
        </w:rPr>
      </w:pPr>
      <w:r>
        <w:rPr>
          <w:rFonts w:hint="default" w:ascii="微软雅黑" w:hAnsi="微软雅黑" w:eastAsia="微软雅黑" w:cs="微软雅黑"/>
          <w:b/>
          <w:bCs/>
          <w:color w:val="FF0000"/>
          <w:sz w:val="22"/>
          <w:szCs w:val="22"/>
          <w:lang w:val="en-US" w:eastAsia="zh-CN"/>
        </w:rPr>
        <w:t>请于</w:t>
      </w:r>
      <w:r>
        <w:rPr>
          <w:rFonts w:hint="eastAsia" w:ascii="微软雅黑" w:hAnsi="微软雅黑" w:eastAsia="微软雅黑" w:cs="微软雅黑"/>
          <w:b/>
          <w:bCs/>
          <w:color w:val="FF0000"/>
          <w:sz w:val="22"/>
          <w:szCs w:val="22"/>
          <w:lang w:val="en-US" w:eastAsia="zh-CN"/>
        </w:rPr>
        <w:t>3</w:t>
      </w:r>
      <w:r>
        <w:rPr>
          <w:rFonts w:hint="default" w:ascii="微软雅黑" w:hAnsi="微软雅黑" w:eastAsia="微软雅黑" w:cs="微软雅黑"/>
          <w:b/>
          <w:bCs/>
          <w:color w:val="FF0000"/>
          <w:sz w:val="22"/>
          <w:szCs w:val="22"/>
          <w:lang w:val="en-US" w:eastAsia="zh-CN"/>
        </w:rPr>
        <w:t>月</w:t>
      </w:r>
      <w:r>
        <w:rPr>
          <w:rFonts w:hint="eastAsia" w:ascii="微软雅黑" w:hAnsi="微软雅黑" w:eastAsia="微软雅黑" w:cs="微软雅黑"/>
          <w:b/>
          <w:bCs/>
          <w:color w:val="FF0000"/>
          <w:sz w:val="22"/>
          <w:szCs w:val="22"/>
          <w:lang w:val="en-US" w:eastAsia="zh-CN"/>
        </w:rPr>
        <w:t>31</w:t>
      </w:r>
      <w:r>
        <w:rPr>
          <w:rFonts w:hint="default" w:ascii="微软雅黑" w:hAnsi="微软雅黑" w:eastAsia="微软雅黑" w:cs="微软雅黑"/>
          <w:b/>
          <w:bCs/>
          <w:color w:val="FF0000"/>
          <w:sz w:val="22"/>
          <w:szCs w:val="22"/>
          <w:lang w:val="en-US" w:eastAsia="zh-CN"/>
        </w:rPr>
        <w:t>日前将回执发送至邮箱：</w:t>
      </w:r>
    </w:p>
    <w:p>
      <w:pPr>
        <w:snapToGrid w:val="0"/>
        <w:spacing w:before="156" w:beforeLines="50"/>
        <w:jc w:val="left"/>
        <w:rPr>
          <w:rFonts w:hint="default" w:ascii="微软雅黑" w:hAnsi="微软雅黑" w:eastAsia="微软雅黑" w:cs="微软雅黑"/>
          <w:b w:val="0"/>
          <w:bCs w:val="0"/>
          <w:color w:val="auto"/>
          <w:sz w:val="22"/>
          <w:szCs w:val="22"/>
          <w:lang w:val="en-US" w:eastAsia="zh-CN"/>
        </w:rPr>
      </w:pPr>
      <w:r>
        <w:rPr>
          <w:rFonts w:hint="default" w:ascii="微软雅黑" w:hAnsi="微软雅黑" w:eastAsia="微软雅黑" w:cs="微软雅黑"/>
          <w:b w:val="0"/>
          <w:bCs w:val="0"/>
          <w:color w:val="auto"/>
          <w:sz w:val="22"/>
          <w:szCs w:val="22"/>
          <w:lang w:val="en-US" w:eastAsia="zh-CN"/>
        </w:rPr>
        <w:t xml:space="preserve">charis@cheaa.com  </w:t>
      </w:r>
      <w:r>
        <w:rPr>
          <w:rFonts w:hint="eastAsia" w:ascii="微软雅黑" w:hAnsi="微软雅黑" w:eastAsia="微软雅黑" w:cs="微软雅黑"/>
          <w:b w:val="0"/>
          <w:bCs w:val="0"/>
          <w:color w:val="auto"/>
          <w:sz w:val="22"/>
          <w:szCs w:val="22"/>
          <w:lang w:val="en-US" w:eastAsia="zh-CN"/>
        </w:rPr>
        <w:t>wangyd</w:t>
      </w:r>
      <w:r>
        <w:rPr>
          <w:rFonts w:hint="default" w:ascii="微软雅黑" w:hAnsi="微软雅黑" w:eastAsia="微软雅黑" w:cs="微软雅黑"/>
          <w:b w:val="0"/>
          <w:bCs w:val="0"/>
          <w:color w:val="auto"/>
          <w:sz w:val="22"/>
          <w:szCs w:val="22"/>
          <w:lang w:val="en-US" w:eastAsia="zh-CN"/>
        </w:rPr>
        <w:t>@cheaa.com</w:t>
      </w:r>
    </w:p>
    <w:p>
      <w:pPr>
        <w:snapToGrid w:val="0"/>
        <w:spacing w:before="156" w:beforeLines="50"/>
        <w:jc w:val="left"/>
        <w:rPr>
          <w:rFonts w:hint="default" w:ascii="微软雅黑" w:hAnsi="微软雅黑" w:eastAsia="微软雅黑" w:cs="微软雅黑"/>
          <w:b w:val="0"/>
          <w:bCs w:val="0"/>
          <w:color w:val="FF0000"/>
          <w:sz w:val="22"/>
          <w:szCs w:val="22"/>
          <w:lang w:val="en-US" w:eastAsia="zh-CN"/>
        </w:rPr>
      </w:pPr>
      <w:r>
        <w:rPr>
          <w:rFonts w:hint="default" w:ascii="微软雅黑" w:hAnsi="微软雅黑" w:eastAsia="微软雅黑" w:cs="微软雅黑"/>
          <w:b w:val="0"/>
          <w:bCs w:val="0"/>
          <w:color w:val="auto"/>
          <w:sz w:val="22"/>
          <w:szCs w:val="22"/>
          <w:lang w:val="en-US" w:eastAsia="zh-CN"/>
        </w:rPr>
        <w:t>峰会组会委联系人：郭瑞锋 15011500390</w:t>
      </w:r>
    </w:p>
    <w:sectPr>
      <w:headerReference r:id="rId3" w:type="default"/>
      <w:pgSz w:w="11906" w:h="16838"/>
      <w:pgMar w:top="1440" w:right="1800" w:bottom="1440" w:left="1800" w:header="737" w:footer="964"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ted" w:color="auto" w:sz="4" w:space="1"/>
      </w:pBdr>
      <w:jc w:val="both"/>
    </w:pPr>
    <w:r>
      <w:rPr>
        <w:rFonts w:hint="eastAsia"/>
      </w:rPr>
      <w:drawing>
        <wp:anchor distT="0" distB="0" distL="114300" distR="114300" simplePos="0" relativeHeight="251662336" behindDoc="0" locked="0" layoutInCell="1" allowOverlap="1">
          <wp:simplePos x="0" y="0"/>
          <wp:positionH relativeFrom="column">
            <wp:posOffset>4475480</wp:posOffset>
          </wp:positionH>
          <wp:positionV relativeFrom="paragraph">
            <wp:posOffset>71120</wp:posOffset>
          </wp:positionV>
          <wp:extent cx="696595" cy="298450"/>
          <wp:effectExtent l="0" t="0" r="5080" b="3810"/>
          <wp:wrapNone/>
          <wp:docPr id="3" name="图片 3" descr="GfK 中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GfK 中国"/>
                  <pic:cNvPicPr>
                    <a:picLocks noChangeAspect="1"/>
                  </pic:cNvPicPr>
                </pic:nvPicPr>
                <pic:blipFill>
                  <a:blip r:embed="rId1"/>
                  <a:srcRect l="7234" t="24177" r="6330" b="23148"/>
                  <a:stretch>
                    <a:fillRect/>
                  </a:stretch>
                </pic:blipFill>
                <pic:spPr>
                  <a:xfrm>
                    <a:off x="0" y="0"/>
                    <a:ext cx="696595" cy="298450"/>
                  </a:xfrm>
                  <a:prstGeom prst="rect">
                    <a:avLst/>
                  </a:prstGeom>
                </pic:spPr>
              </pic:pic>
            </a:graphicData>
          </a:graphic>
        </wp:anchor>
      </w:drawing>
    </w:r>
    <w:r>
      <w:rPr>
        <w:rFonts w:hint="eastAsia"/>
      </w:rPr>
      <w:drawing>
        <wp:anchor distT="0" distB="0" distL="114935" distR="114935" simplePos="0" relativeHeight="251660288" behindDoc="0" locked="0" layoutInCell="1" allowOverlap="1">
          <wp:simplePos x="0" y="0"/>
          <wp:positionH relativeFrom="column">
            <wp:posOffset>3400425</wp:posOffset>
          </wp:positionH>
          <wp:positionV relativeFrom="paragraph">
            <wp:posOffset>-35560</wp:posOffset>
          </wp:positionV>
          <wp:extent cx="884555" cy="531495"/>
          <wp:effectExtent l="0" t="0" r="10795" b="0"/>
          <wp:wrapNone/>
          <wp:docPr id="1" name="图片 1" descr="中国家电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国家电网"/>
                  <pic:cNvPicPr>
                    <a:picLocks noChangeAspect="1"/>
                  </pic:cNvPicPr>
                </pic:nvPicPr>
                <pic:blipFill>
                  <a:blip r:embed="rId2"/>
                  <a:stretch>
                    <a:fillRect/>
                  </a:stretch>
                </pic:blipFill>
                <pic:spPr>
                  <a:xfrm>
                    <a:off x="0" y="0"/>
                    <a:ext cx="884555" cy="531495"/>
                  </a:xfrm>
                  <a:prstGeom prst="rect">
                    <a:avLst/>
                  </a:prstGeom>
                </pic:spPr>
              </pic:pic>
            </a:graphicData>
          </a:graphic>
        </wp:anchor>
      </w:drawing>
    </w:r>
    <w:r>
      <w:rPr>
        <w:rFonts w:hint="eastAsia"/>
      </w:rPr>
      <w:drawing>
        <wp:anchor distT="0" distB="0" distL="114300" distR="114300" simplePos="0" relativeHeight="251661312" behindDoc="0" locked="0" layoutInCell="1" allowOverlap="1">
          <wp:simplePos x="0" y="0"/>
          <wp:positionH relativeFrom="column">
            <wp:posOffset>26035</wp:posOffset>
          </wp:positionH>
          <wp:positionV relativeFrom="paragraph">
            <wp:posOffset>3810</wp:posOffset>
          </wp:positionV>
          <wp:extent cx="415925" cy="420370"/>
          <wp:effectExtent l="0" t="0" r="3175" b="17780"/>
          <wp:wrapNone/>
          <wp:docPr id="2" name="图片 2" descr="C:\Users\admin\Desktop\2023零售峰会logo-1.png2023零售峰会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Desktop\2023零售峰会logo-1.png2023零售峰会logo-1"/>
                  <pic:cNvPicPr>
                    <a:picLocks noChangeAspect="1"/>
                  </pic:cNvPicPr>
                </pic:nvPicPr>
                <pic:blipFill>
                  <a:blip r:embed="rId3"/>
                  <a:srcRect/>
                  <a:stretch>
                    <a:fillRect/>
                  </a:stretch>
                </pic:blipFill>
                <pic:spPr>
                  <a:xfrm>
                    <a:off x="0" y="0"/>
                    <a:ext cx="415925" cy="420370"/>
                  </a:xfrm>
                  <a:prstGeom prst="rect">
                    <a:avLst/>
                  </a:prstGeom>
                </pic:spPr>
              </pic:pic>
            </a:graphicData>
          </a:graphic>
        </wp:anchor>
      </w:drawing>
    </w:r>
  </w:p>
  <w:p>
    <w:pPr>
      <w:pStyle w:val="3"/>
      <w:pBdr>
        <w:bottom w:val="dotted" w:color="auto" w:sz="4" w:space="1"/>
      </w:pBdr>
      <w:jc w:val="both"/>
    </w:pPr>
  </w:p>
  <w:p>
    <w:pPr>
      <w:pStyle w:val="3"/>
      <w:pBdr>
        <w:bottom w:val="dotted" w:color="auto" w:sz="4"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0ZTAwYzUyZDllYTdiODZhOTc0NWYyZTk1NDU1M2MifQ=="/>
  </w:docVars>
  <w:rsids>
    <w:rsidRoot w:val="004B3638"/>
    <w:rsid w:val="000D6F79"/>
    <w:rsid w:val="00145ACF"/>
    <w:rsid w:val="001916E9"/>
    <w:rsid w:val="00374B89"/>
    <w:rsid w:val="004B3638"/>
    <w:rsid w:val="005E3BB0"/>
    <w:rsid w:val="00600618"/>
    <w:rsid w:val="00636727"/>
    <w:rsid w:val="00744674"/>
    <w:rsid w:val="009E0703"/>
    <w:rsid w:val="00A009C5"/>
    <w:rsid w:val="00AF2BDE"/>
    <w:rsid w:val="00C32A10"/>
    <w:rsid w:val="00D52F63"/>
    <w:rsid w:val="05931A68"/>
    <w:rsid w:val="063522A9"/>
    <w:rsid w:val="068943A3"/>
    <w:rsid w:val="06DD06DB"/>
    <w:rsid w:val="07695E71"/>
    <w:rsid w:val="083C42A5"/>
    <w:rsid w:val="08B07D5B"/>
    <w:rsid w:val="094B29D8"/>
    <w:rsid w:val="09F32135"/>
    <w:rsid w:val="0A4958A2"/>
    <w:rsid w:val="0B1D1B14"/>
    <w:rsid w:val="0B640F3B"/>
    <w:rsid w:val="0FC53C06"/>
    <w:rsid w:val="11240831"/>
    <w:rsid w:val="11BA18B5"/>
    <w:rsid w:val="11C91A66"/>
    <w:rsid w:val="1279393F"/>
    <w:rsid w:val="12847AFA"/>
    <w:rsid w:val="1457788F"/>
    <w:rsid w:val="147223D9"/>
    <w:rsid w:val="17D17F7C"/>
    <w:rsid w:val="18972950"/>
    <w:rsid w:val="1D2F2C50"/>
    <w:rsid w:val="1E625813"/>
    <w:rsid w:val="1FBB4097"/>
    <w:rsid w:val="1FE16BA6"/>
    <w:rsid w:val="20176124"/>
    <w:rsid w:val="21B04A82"/>
    <w:rsid w:val="22246549"/>
    <w:rsid w:val="22582CF2"/>
    <w:rsid w:val="23767606"/>
    <w:rsid w:val="2415448F"/>
    <w:rsid w:val="25A95A70"/>
    <w:rsid w:val="25FE400E"/>
    <w:rsid w:val="26057187"/>
    <w:rsid w:val="26FB054E"/>
    <w:rsid w:val="2758774E"/>
    <w:rsid w:val="2A7F1496"/>
    <w:rsid w:val="2AB27175"/>
    <w:rsid w:val="2B2F4B75"/>
    <w:rsid w:val="2BB54445"/>
    <w:rsid w:val="2C757E5B"/>
    <w:rsid w:val="2CE808B5"/>
    <w:rsid w:val="2D29457E"/>
    <w:rsid w:val="2D3C3E22"/>
    <w:rsid w:val="2D5619A2"/>
    <w:rsid w:val="2FF975F4"/>
    <w:rsid w:val="3073392F"/>
    <w:rsid w:val="33AB32FB"/>
    <w:rsid w:val="33F478B5"/>
    <w:rsid w:val="392A1924"/>
    <w:rsid w:val="39705FCA"/>
    <w:rsid w:val="3D1465E4"/>
    <w:rsid w:val="3E5325C6"/>
    <w:rsid w:val="3E745B82"/>
    <w:rsid w:val="3FFF0C57"/>
    <w:rsid w:val="414D6025"/>
    <w:rsid w:val="421D0E0A"/>
    <w:rsid w:val="43FC3153"/>
    <w:rsid w:val="44411F65"/>
    <w:rsid w:val="445157F9"/>
    <w:rsid w:val="477D340C"/>
    <w:rsid w:val="47B21CF9"/>
    <w:rsid w:val="4A3B0ADD"/>
    <w:rsid w:val="4AE15B96"/>
    <w:rsid w:val="4BC6087B"/>
    <w:rsid w:val="4C205E0D"/>
    <w:rsid w:val="4CDE39A2"/>
    <w:rsid w:val="522B0B84"/>
    <w:rsid w:val="56444C51"/>
    <w:rsid w:val="58291D03"/>
    <w:rsid w:val="58F85279"/>
    <w:rsid w:val="5CEA608C"/>
    <w:rsid w:val="60396B55"/>
    <w:rsid w:val="60F33E9A"/>
    <w:rsid w:val="61005930"/>
    <w:rsid w:val="61A30FEA"/>
    <w:rsid w:val="64B368F6"/>
    <w:rsid w:val="64B928D3"/>
    <w:rsid w:val="660B3602"/>
    <w:rsid w:val="693049AC"/>
    <w:rsid w:val="6A787F23"/>
    <w:rsid w:val="6BD054D1"/>
    <w:rsid w:val="6BE5324C"/>
    <w:rsid w:val="6C600F20"/>
    <w:rsid w:val="6E0830F2"/>
    <w:rsid w:val="713003C1"/>
    <w:rsid w:val="71BE777B"/>
    <w:rsid w:val="720662B5"/>
    <w:rsid w:val="7242215A"/>
    <w:rsid w:val="72944B4C"/>
    <w:rsid w:val="729C31FE"/>
    <w:rsid w:val="73E159A2"/>
    <w:rsid w:val="75C279E1"/>
    <w:rsid w:val="75F75037"/>
    <w:rsid w:val="768715C2"/>
    <w:rsid w:val="76E539FB"/>
    <w:rsid w:val="776B2153"/>
    <w:rsid w:val="77EE068E"/>
    <w:rsid w:val="78126A72"/>
    <w:rsid w:val="787108D7"/>
    <w:rsid w:val="79E32474"/>
    <w:rsid w:val="7A3B6D58"/>
    <w:rsid w:val="7B2E6213"/>
    <w:rsid w:val="7CEF2EDE"/>
    <w:rsid w:val="7D58772D"/>
    <w:rsid w:val="7D7704CB"/>
    <w:rsid w:val="7F35379D"/>
    <w:rsid w:val="7FC05006"/>
    <w:rsid w:val="7FED7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qFormat/>
    <w:uiPriority w:val="0"/>
    <w:pPr>
      <w:spacing w:before="100" w:beforeAutospacing="1" w:after="224"/>
    </w:pPr>
    <w:rPr>
      <w:rFonts w:ascii="宋体" w:hAnsi="Times New Roman" w:eastAsia="宋体" w:cs="Times New Roman"/>
      <w:sz w:val="24"/>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1229</Words>
  <Characters>1413</Characters>
  <Lines>3</Lines>
  <Paragraphs>1</Paragraphs>
  <TotalTime>36</TotalTime>
  <ScaleCrop>false</ScaleCrop>
  <LinksUpToDate>false</LinksUpToDate>
  <CharactersWithSpaces>1452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2022-12-06T03:33:00Z</dcterms:created>
  <dc:creator>admin</dc:creator>
  <cp:lastModifiedBy>赵赵</cp:lastModifiedBy>
  <dcterms:modified xsi:type="dcterms:W3CDTF">2023-03-03T01:45:02Z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1F36E9C18EC44CBAA33B5BB031F9A0BA</vt:lpwstr>
  </property>
</Properties>
</file>