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7" w:line="226" w:lineRule="auto"/>
        <w:jc w:val="center"/>
        <w:outlineLvl w:val="0"/>
        <w:rPr>
          <w:rFonts w:hint="eastAsia" w:ascii="方正小标宋简体" w:hAnsi="方正小标宋简体" w:eastAsia="方正小标宋简体" w:cs="方正小标宋简体"/>
          <w:b w:val="0"/>
          <w:bCs/>
          <w:sz w:val="44"/>
          <w:szCs w:val="44"/>
          <w:highlight w:val="yellow"/>
        </w:rPr>
      </w:pPr>
      <w:bookmarkStart w:id="0" w:name="_Toc23807"/>
      <w:bookmarkStart w:id="1" w:name="_Toc30417"/>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val="en-US" w:eastAsia="zh-CN"/>
        </w:rPr>
        <w:t>淮北</w:t>
      </w:r>
      <w:r>
        <w:rPr>
          <w:rFonts w:hint="eastAsia" w:ascii="方正小标宋简体" w:hAnsi="方正小标宋简体" w:eastAsia="方正小标宋简体" w:cs="方正小标宋简体"/>
          <w:b w:val="0"/>
          <w:bCs/>
          <w:sz w:val="44"/>
          <w:szCs w:val="44"/>
          <w:lang w:eastAsia="zh-CN"/>
        </w:rPr>
        <w:t>市</w:t>
      </w:r>
      <w:r>
        <w:rPr>
          <w:rFonts w:hint="eastAsia" w:ascii="方正小标宋简体" w:hAnsi="方正小标宋简体" w:eastAsia="方正小标宋简体" w:cs="方正小标宋简体"/>
          <w:b w:val="0"/>
          <w:bCs/>
          <w:sz w:val="44"/>
          <w:szCs w:val="44"/>
        </w:rPr>
        <w:t>市场监</w:t>
      </w:r>
      <w:r>
        <w:rPr>
          <w:rFonts w:hint="eastAsia" w:ascii="方正小标宋简体" w:hAnsi="方正小标宋简体" w:eastAsia="方正小标宋简体" w:cs="方正小标宋简体"/>
          <w:b w:val="0"/>
          <w:bCs/>
          <w:sz w:val="44"/>
          <w:szCs w:val="44"/>
          <w:lang w:val="en-US" w:eastAsia="zh-CN"/>
        </w:rPr>
        <w:t>督</w:t>
      </w:r>
      <w:r>
        <w:rPr>
          <w:rFonts w:hint="eastAsia" w:ascii="方正小标宋简体" w:hAnsi="方正小标宋简体" w:eastAsia="方正小标宋简体" w:cs="方正小标宋简体"/>
          <w:b w:val="0"/>
          <w:bCs/>
          <w:sz w:val="44"/>
          <w:szCs w:val="44"/>
          <w:lang w:eastAsia="zh-CN"/>
        </w:rPr>
        <w:t>管理</w:t>
      </w:r>
      <w:r>
        <w:rPr>
          <w:rFonts w:hint="eastAsia" w:ascii="方正小标宋简体" w:hAnsi="方正小标宋简体" w:eastAsia="方正小标宋简体" w:cs="方正小标宋简体"/>
          <w:b w:val="0"/>
          <w:bCs/>
          <w:sz w:val="44"/>
          <w:szCs w:val="44"/>
        </w:rPr>
        <w:t>局</w:t>
      </w:r>
      <w:r>
        <w:rPr>
          <w:rFonts w:hint="eastAsia" w:ascii="方正小标宋简体" w:hAnsi="方正小标宋简体" w:eastAsia="方正小标宋简体" w:cs="方正小标宋简体"/>
          <w:b w:val="0"/>
          <w:bCs/>
          <w:color w:val="000000"/>
          <w:sz w:val="44"/>
          <w:szCs w:val="44"/>
          <w:highlight w:val="none"/>
          <w:lang w:val="en-US" w:eastAsia="zh-CN" w:bidi="ar-SA"/>
        </w:rPr>
        <w:t>燃气用具、消防产品、防护用品、电动车及其配件等</w:t>
      </w:r>
      <w:r>
        <w:rPr>
          <w:rFonts w:hint="eastAsia" w:ascii="方正小标宋简体" w:hAnsi="方正小标宋简体" w:eastAsia="方正小标宋简体" w:cs="方正小标宋简体"/>
          <w:b w:val="0"/>
          <w:bCs/>
          <w:sz w:val="44"/>
          <w:szCs w:val="44"/>
        </w:rPr>
        <w:t>产品质量监督抽查分析</w:t>
      </w:r>
      <w:bookmarkEnd w:id="0"/>
      <w:bookmarkEnd w:id="1"/>
    </w:p>
    <w:p>
      <w:pPr>
        <w:spacing w:before="101" w:line="417" w:lineRule="auto"/>
        <w:ind w:left="125" w:right="115" w:firstLine="658"/>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bidi="ar-SA"/>
        </w:rPr>
        <w:t>淮北市市场监督管理局委托山东精准产品质量检测有限公司于2023年对淮北市的燃气用具、烟花爆竹、消防产品、防护用品、电动车及其配件、插头插座、汽车风窗玻璃清洗液等产品质量进行</w:t>
      </w:r>
      <w:bookmarkStart w:id="7" w:name="_GoBack"/>
      <w:bookmarkEnd w:id="7"/>
      <w:r>
        <w:rPr>
          <w:rFonts w:hint="eastAsia" w:ascii="仿宋_GB2312" w:hAnsi="仿宋_GB2312" w:eastAsia="仿宋_GB2312" w:cs="仿宋_GB2312"/>
          <w:color w:val="000000"/>
          <w:sz w:val="32"/>
          <w:szCs w:val="32"/>
          <w:highlight w:val="none"/>
          <w:lang w:val="en-US" w:eastAsia="zh-CN" w:bidi="ar-SA"/>
        </w:rPr>
        <w:t>监督抽查检验，现就本次监督抽检工作情况分析如下：</w:t>
      </w:r>
    </w:p>
    <w:p>
      <w:pPr>
        <w:keepNext w:val="0"/>
        <w:keepLines w:val="0"/>
        <w:pageBreakBefore w:val="0"/>
        <w:numPr>
          <w:ilvl w:val="0"/>
          <w:numId w:val="0"/>
        </w:numPr>
        <w:kinsoku/>
        <w:wordWrap/>
        <w:overflowPunct/>
        <w:topLinePunct w:val="0"/>
        <w:bidi w:val="0"/>
        <w:spacing w:line="594" w:lineRule="exact"/>
        <w:ind w:firstLine="640" w:firstLineChars="200"/>
        <w:jc w:val="both"/>
        <w:outlineLvl w:val="0"/>
        <w:rPr>
          <w:rFonts w:hint="eastAsia"/>
        </w:rPr>
      </w:pPr>
      <w:bookmarkStart w:id="2" w:name="_Toc31522"/>
      <w:r>
        <w:rPr>
          <w:rFonts w:hint="eastAsia" w:ascii="黑体" w:hAnsi="宋体" w:eastAsia="黑体"/>
          <w:sz w:val="32"/>
          <w:szCs w:val="32"/>
          <w:lang w:eastAsia="zh-CN"/>
        </w:rPr>
        <w:t>一、</w:t>
      </w:r>
      <w:r>
        <w:rPr>
          <w:rFonts w:hint="eastAsia" w:ascii="黑体" w:hAnsi="宋体" w:eastAsia="黑体"/>
          <w:sz w:val="32"/>
          <w:szCs w:val="32"/>
        </w:rPr>
        <w:t>抽</w:t>
      </w:r>
      <w:r>
        <w:rPr>
          <w:rFonts w:hint="eastAsia" w:ascii="黑体" w:hAnsi="宋体" w:eastAsia="黑体"/>
          <w:sz w:val="32"/>
          <w:szCs w:val="32"/>
          <w:lang w:eastAsia="zh-CN"/>
        </w:rPr>
        <w:t>检基本</w:t>
      </w:r>
      <w:r>
        <w:rPr>
          <w:rFonts w:hint="eastAsia" w:ascii="黑体" w:hAnsi="宋体" w:eastAsia="黑体"/>
          <w:sz w:val="32"/>
          <w:szCs w:val="32"/>
        </w:rPr>
        <w:t>概况</w:t>
      </w:r>
      <w:bookmarkEnd w:id="2"/>
    </w:p>
    <w:p>
      <w:pPr>
        <w:pStyle w:val="9"/>
        <w:keepNext w:val="0"/>
        <w:keepLines w:val="0"/>
        <w:pageBreakBefore w:val="0"/>
        <w:widowControl w:val="0"/>
        <w:kinsoku/>
        <w:wordWrap/>
        <w:overflowPunct/>
        <w:topLinePunct w:val="0"/>
        <w:bidi w:val="0"/>
        <w:snapToGrid/>
        <w:spacing w:line="594" w:lineRule="exact"/>
        <w:ind w:firstLine="480"/>
        <w:rPr>
          <w:rFonts w:hint="default"/>
          <w:sz w:val="32"/>
          <w:szCs w:val="32"/>
          <w:lang w:val="en-US"/>
        </w:rPr>
      </w:pPr>
      <w:r>
        <w:rPr>
          <w:rFonts w:hint="eastAsia" w:ascii="仿宋_GB2312" w:hAnsi="仿宋_GB2312" w:eastAsia="仿宋_GB2312" w:cs="仿宋_GB2312"/>
          <w:sz w:val="32"/>
          <w:szCs w:val="32"/>
          <w:highlight w:val="none"/>
        </w:rPr>
        <w:t>本次抽样领域为</w:t>
      </w:r>
      <w:r>
        <w:rPr>
          <w:rFonts w:hint="eastAsia" w:ascii="仿宋_GB2312" w:hAnsi="仿宋_GB2312" w:eastAsia="仿宋_GB2312" w:cs="仿宋_GB2312"/>
          <w:sz w:val="32"/>
          <w:szCs w:val="32"/>
          <w:highlight w:val="none"/>
          <w:lang w:eastAsia="zh-CN"/>
        </w:rPr>
        <w:t>流通</w:t>
      </w:r>
      <w:r>
        <w:rPr>
          <w:rFonts w:hint="eastAsia" w:ascii="仿宋_GB2312" w:hAnsi="仿宋_GB2312" w:eastAsia="仿宋_GB2312" w:cs="仿宋_GB2312"/>
          <w:sz w:val="32"/>
          <w:szCs w:val="32"/>
          <w:highlight w:val="none"/>
        </w:rPr>
        <w:t>领域</w:t>
      </w:r>
      <w:r>
        <w:rPr>
          <w:rFonts w:hint="eastAsia" w:hAnsi="仿宋_GB2312" w:cs="仿宋_GB2312"/>
          <w:sz w:val="32"/>
          <w:szCs w:val="32"/>
          <w:highlight w:val="none"/>
          <w:lang w:val="en-US" w:eastAsia="zh-CN"/>
        </w:rPr>
        <w:t>和生产领域</w:t>
      </w:r>
      <w:r>
        <w:rPr>
          <w:rFonts w:hint="eastAsia" w:ascii="仿宋_GB2312" w:hAnsi="仿宋_GB2312" w:eastAsia="仿宋_GB2312" w:cs="仿宋_GB2312"/>
          <w:sz w:val="32"/>
          <w:szCs w:val="32"/>
          <w:highlight w:val="none"/>
        </w:rPr>
        <w:t>，样品获取方式为检验样品付费购买和备用样品由受检单位先行无偿提供，抽样及检验机构名称为山东精准产品质量检测有限公司，抽查时间为</w:t>
      </w:r>
      <w:r>
        <w:rPr>
          <w:rFonts w:hint="eastAsia" w:hAnsi="仿宋_GB2312" w:cs="仿宋_GB2312"/>
          <w:sz w:val="32"/>
          <w:szCs w:val="32"/>
          <w:highlight w:val="none"/>
          <w:lang w:eastAsia="zh-CN"/>
        </w:rPr>
        <w:t>2023</w:t>
      </w:r>
      <w:r>
        <w:rPr>
          <w:rFonts w:hint="eastAsia" w:ascii="仿宋_GB2312" w:hAnsi="仿宋_GB2312" w:eastAsia="仿宋_GB2312" w:cs="仿宋_GB2312"/>
          <w:sz w:val="32"/>
          <w:szCs w:val="32"/>
          <w:highlight w:val="none"/>
        </w:rPr>
        <w:t>年</w:t>
      </w:r>
      <w:r>
        <w:rPr>
          <w:rFonts w:hint="eastAsia"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月至</w:t>
      </w:r>
      <w:r>
        <w:rPr>
          <w:rFonts w:hint="eastAsia"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月。抽查了</w:t>
      </w:r>
      <w:r>
        <w:rPr>
          <w:rFonts w:hint="eastAsia" w:hAnsi="仿宋_GB2312" w:cs="仿宋_GB2312"/>
          <w:sz w:val="32"/>
          <w:szCs w:val="32"/>
          <w:highlight w:val="none"/>
          <w:lang w:val="en-US" w:eastAsia="zh-CN"/>
        </w:rPr>
        <w:t>杜集区</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相山区</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烈山区</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濉溪县</w:t>
      </w:r>
      <w:r>
        <w:rPr>
          <w:rFonts w:hint="eastAsia" w:ascii="仿宋_GB2312" w:hAnsi="仿宋_GB2312" w:eastAsia="仿宋_GB2312" w:cs="仿宋_GB2312"/>
          <w:sz w:val="32"/>
          <w:szCs w:val="32"/>
          <w:highlight w:val="none"/>
        </w:rPr>
        <w:t>等</w:t>
      </w:r>
      <w:r>
        <w:rPr>
          <w:rFonts w:hint="eastAsia"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个地区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抽查产品共计</w:t>
      </w:r>
      <w:r>
        <w:rPr>
          <w:rFonts w:hint="eastAsia" w:hAnsi="仿宋_GB2312" w:cs="仿宋_GB2312"/>
          <w:sz w:val="32"/>
          <w:szCs w:val="32"/>
          <w:highlight w:val="none"/>
          <w:lang w:val="en-US" w:eastAsia="zh-CN"/>
        </w:rPr>
        <w:t>105</w:t>
      </w:r>
      <w:r>
        <w:rPr>
          <w:rFonts w:hint="eastAsia" w:ascii="仿宋_GB2312" w:hAnsi="仿宋_GB2312" w:eastAsia="仿宋_GB2312" w:cs="仿宋_GB2312"/>
          <w:sz w:val="32"/>
          <w:szCs w:val="32"/>
          <w:highlight w:val="none"/>
          <w:lang w:val="en-US" w:eastAsia="zh-CN"/>
        </w:rPr>
        <w:t>批次，其中合格</w:t>
      </w:r>
      <w:r>
        <w:rPr>
          <w:rFonts w:hint="eastAsia" w:hAnsi="仿宋_GB2312" w:cs="仿宋_GB2312"/>
          <w:sz w:val="32"/>
          <w:szCs w:val="32"/>
          <w:highlight w:val="none"/>
          <w:lang w:val="en-US" w:eastAsia="zh-CN"/>
        </w:rPr>
        <w:t>91</w:t>
      </w:r>
      <w:r>
        <w:rPr>
          <w:rFonts w:hint="eastAsia" w:ascii="仿宋_GB2312" w:hAnsi="仿宋_GB2312" w:eastAsia="仿宋_GB2312" w:cs="仿宋_GB2312"/>
          <w:sz w:val="32"/>
          <w:szCs w:val="32"/>
          <w:highlight w:val="none"/>
          <w:lang w:val="en-US" w:eastAsia="zh-CN"/>
        </w:rPr>
        <w:t>批次，不合格</w:t>
      </w:r>
      <w:r>
        <w:rPr>
          <w:rFonts w:hint="eastAsia" w:hAnsi="仿宋_GB2312" w:cs="仿宋_GB2312"/>
          <w:sz w:val="32"/>
          <w:szCs w:val="32"/>
          <w:highlight w:val="none"/>
          <w:lang w:val="en-US" w:eastAsia="zh-CN"/>
        </w:rPr>
        <w:t>14</w:t>
      </w:r>
      <w:r>
        <w:rPr>
          <w:rFonts w:hint="eastAsia" w:ascii="仿宋_GB2312" w:hAnsi="仿宋_GB2312" w:eastAsia="仿宋_GB2312" w:cs="仿宋_GB2312"/>
          <w:sz w:val="32"/>
          <w:szCs w:val="32"/>
          <w:highlight w:val="none"/>
          <w:lang w:val="en-US" w:eastAsia="zh-CN"/>
        </w:rPr>
        <w:t>批次，批次不合格发现率</w:t>
      </w:r>
      <w:r>
        <w:rPr>
          <w:rFonts w:hint="eastAsia" w:hAnsi="仿宋_GB2312" w:cs="仿宋_GB2312"/>
          <w:sz w:val="32"/>
          <w:szCs w:val="32"/>
          <w:highlight w:val="none"/>
          <w:lang w:val="en-US" w:eastAsia="zh-CN"/>
        </w:rPr>
        <w:t>13.33</w:t>
      </w:r>
      <w:r>
        <w:rPr>
          <w:rFonts w:hint="eastAsia" w:ascii="仿宋_GB2312" w:hAnsi="仿宋_GB2312" w:eastAsia="仿宋_GB2312" w:cs="仿宋_GB2312"/>
          <w:sz w:val="32"/>
          <w:szCs w:val="32"/>
          <w:highlight w:val="none"/>
          <w:lang w:val="en-US" w:eastAsia="zh-CN"/>
        </w:rPr>
        <w:t>%</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涉及的不合格项目为</w:t>
      </w:r>
      <w:r>
        <w:rPr>
          <w:rFonts w:hint="eastAsia" w:ascii="仿宋_GB2312" w:hAnsi="仿宋_GB2312" w:eastAsia="仿宋_GB2312" w:cs="仿宋_GB2312"/>
          <w:color w:val="000000"/>
          <w:spacing w:val="4"/>
          <w:sz w:val="32"/>
          <w:szCs w:val="32"/>
          <w:highlight w:val="none"/>
          <w:lang w:eastAsia="zh-CN"/>
        </w:rPr>
        <w:t>瓶装液化石油气调压器产品中结构、关闭压力、出口压力、标志、警示和使用说明书</w:t>
      </w:r>
      <w:r>
        <w:rPr>
          <w:rFonts w:hint="eastAsia" w:hAnsi="仿宋_GB2312" w:cs="仿宋_GB2312"/>
          <w:color w:val="000000"/>
          <w:spacing w:val="4"/>
          <w:sz w:val="32"/>
          <w:szCs w:val="32"/>
          <w:highlight w:val="none"/>
          <w:lang w:eastAsia="zh-CN"/>
        </w:rPr>
        <w:t>；家用燃气灶具产品中熄火保护装置、标志；电动自行车</w:t>
      </w:r>
      <w:r>
        <w:rPr>
          <w:rFonts w:hint="eastAsia" w:hAnsi="仿宋_GB2312" w:cs="仿宋_GB2312"/>
          <w:color w:val="000000"/>
          <w:spacing w:val="4"/>
          <w:sz w:val="32"/>
          <w:szCs w:val="32"/>
          <w:highlight w:val="none"/>
          <w:lang w:val="en-US" w:eastAsia="zh-CN"/>
        </w:rPr>
        <w:t>产品中整车质量、防碰擦、蓄电池的最大输出电压、蓄电池防篡改；电动自行车充电器产品中电源连接和外部软线；口罩产品中过滤效率；手提式干粉灭火器产品中灭火剂主要组分含量（磷酸二氢铵）；消防水带产品中附着强度。</w:t>
      </w:r>
    </w:p>
    <w:p>
      <w:pPr>
        <w:keepNext w:val="0"/>
        <w:keepLines w:val="0"/>
        <w:pageBreakBefore w:val="0"/>
        <w:kinsoku/>
        <w:wordWrap/>
        <w:overflowPunct/>
        <w:topLinePunct w:val="0"/>
        <w:bidi w:val="0"/>
        <w:spacing w:line="594" w:lineRule="exact"/>
        <w:ind w:firstLine="640" w:firstLineChars="200"/>
        <w:jc w:val="both"/>
        <w:outlineLvl w:val="0"/>
        <w:rPr>
          <w:rFonts w:hint="eastAsia" w:ascii="楷体_GB2312" w:hAnsi="楷体_GB2312" w:eastAsia="楷体_GB2312" w:cs="楷体_GB2312"/>
          <w:sz w:val="32"/>
          <w:szCs w:val="32"/>
        </w:rPr>
      </w:pPr>
      <w:bookmarkStart w:id="3" w:name="_Toc30215"/>
      <w:r>
        <w:rPr>
          <w:rFonts w:hint="eastAsia" w:ascii="黑体" w:hAnsi="宋体" w:eastAsia="黑体"/>
          <w:sz w:val="32"/>
          <w:szCs w:val="32"/>
          <w:lang w:eastAsia="zh-CN"/>
        </w:rPr>
        <w:t>二</w:t>
      </w:r>
      <w:r>
        <w:rPr>
          <w:rFonts w:hint="eastAsia" w:ascii="黑体" w:hAnsi="宋体" w:eastAsia="黑体"/>
          <w:sz w:val="32"/>
          <w:szCs w:val="32"/>
        </w:rPr>
        <w:t>、抽查结果的综合分析</w:t>
      </w:r>
      <w:bookmarkEnd w:id="3"/>
    </w:p>
    <w:p>
      <w:pPr>
        <w:pStyle w:val="9"/>
        <w:keepNext w:val="0"/>
        <w:keepLines w:val="0"/>
        <w:pageBreakBefore w:val="0"/>
        <w:widowControl w:val="0"/>
        <w:kinsoku/>
        <w:wordWrap/>
        <w:overflowPunct/>
        <w:topLinePunct w:val="0"/>
        <w:bidi w:val="0"/>
        <w:snapToGrid/>
        <w:spacing w:line="594" w:lineRule="exact"/>
        <w:rPr>
          <w:rFonts w:hint="eastAsia" w:ascii="楷体_GB2312" w:hAnsi="楷体_GB2312" w:eastAsia="楷体_GB2312" w:cs="楷体_GB2312"/>
          <w:sz w:val="32"/>
          <w:szCs w:val="32"/>
        </w:rPr>
      </w:pPr>
      <w:r>
        <w:rPr>
          <w:rFonts w:hint="eastAsia" w:hAnsi="仿宋_GB2312" w:cs="仿宋_GB2312"/>
          <w:sz w:val="32"/>
          <w:szCs w:val="32"/>
          <w:lang w:eastAsia="zh-CN"/>
        </w:rPr>
        <w:t>（一）</w:t>
      </w:r>
      <w:r>
        <w:rPr>
          <w:rFonts w:hint="eastAsia" w:ascii="楷体_GB2312" w:hAnsi="楷体_GB2312" w:eastAsia="楷体_GB2312" w:cs="楷体_GB2312"/>
          <w:sz w:val="32"/>
          <w:szCs w:val="32"/>
        </w:rPr>
        <w:t>按抽查领域统计企业和产品不合格率</w:t>
      </w:r>
    </w:p>
    <w:p>
      <w:pPr>
        <w:pStyle w:val="9"/>
        <w:keepNext w:val="0"/>
        <w:keepLines w:val="0"/>
        <w:pageBreakBefore w:val="0"/>
        <w:widowControl w:val="0"/>
        <w:kinsoku/>
        <w:wordWrap/>
        <w:overflowPunct/>
        <w:topLinePunct w:val="0"/>
        <w:bidi w:val="0"/>
        <w:snapToGrid/>
        <w:spacing w:line="594" w:lineRule="exact"/>
        <w:ind w:firstLine="480"/>
        <w:rPr>
          <w:rFonts w:hint="eastAsia" w:ascii="黑体" w:hAnsi="黑体" w:eastAsia="黑体"/>
          <w:color w:val="auto"/>
          <w:sz w:val="32"/>
          <w:szCs w:val="32"/>
        </w:rPr>
      </w:pPr>
      <w:r>
        <w:rPr>
          <w:rFonts w:hint="eastAsia" w:ascii="仿宋_GB2312" w:hAnsi="仿宋_GB2312" w:eastAsia="仿宋_GB2312" w:cs="仿宋_GB2312"/>
          <w:sz w:val="32"/>
          <w:szCs w:val="32"/>
        </w:rPr>
        <w:t>本次</w:t>
      </w:r>
      <w:r>
        <w:rPr>
          <w:rFonts w:hint="eastAsia" w:hAnsi="仿宋_GB2312" w:cs="仿宋_GB2312"/>
          <w:sz w:val="32"/>
          <w:szCs w:val="32"/>
          <w:lang w:eastAsia="zh-CN"/>
        </w:rPr>
        <w:t>共</w:t>
      </w:r>
      <w:r>
        <w:rPr>
          <w:rFonts w:hint="eastAsia" w:ascii="仿宋_GB2312" w:hAnsi="仿宋_GB2312" w:eastAsia="仿宋_GB2312" w:cs="仿宋_GB2312"/>
          <w:sz w:val="32"/>
          <w:szCs w:val="32"/>
        </w:rPr>
        <w:t>抽检1</w:t>
      </w:r>
      <w:r>
        <w:rPr>
          <w:rFonts w:hint="eastAsia" w:hAnsi="仿宋_GB2312" w:cs="仿宋_GB2312"/>
          <w:sz w:val="32"/>
          <w:szCs w:val="32"/>
          <w:lang w:val="en-US" w:eastAsia="zh-CN"/>
        </w:rPr>
        <w:t>0</w:t>
      </w:r>
      <w:r>
        <w:rPr>
          <w:rFonts w:hint="eastAsia" w:ascii="仿宋_GB2312" w:hAnsi="仿宋_GB2312" w:eastAsia="仿宋_GB2312" w:cs="仿宋_GB2312"/>
          <w:sz w:val="32"/>
          <w:szCs w:val="32"/>
        </w:rPr>
        <w:t>5批次产品，</w:t>
      </w:r>
      <w:r>
        <w:rPr>
          <w:rFonts w:hint="eastAsia" w:hAnsi="仿宋_GB2312" w:cs="仿宋_GB2312"/>
          <w:sz w:val="32"/>
          <w:szCs w:val="32"/>
          <w:lang w:eastAsia="zh-CN"/>
        </w:rPr>
        <w:t>其中</w:t>
      </w:r>
      <w:r>
        <w:rPr>
          <w:rFonts w:hint="eastAsia" w:ascii="仿宋_GB2312" w:hAnsi="仿宋_GB2312" w:eastAsia="仿宋_GB2312" w:cs="仿宋_GB2312"/>
          <w:sz w:val="32"/>
          <w:szCs w:val="32"/>
        </w:rPr>
        <w:t>抽检生产</w:t>
      </w:r>
      <w:r>
        <w:rPr>
          <w:rFonts w:hint="eastAsia" w:hAnsi="仿宋_GB2312" w:cs="仿宋_GB2312"/>
          <w:sz w:val="32"/>
          <w:szCs w:val="32"/>
          <w:lang w:eastAsia="zh-CN"/>
        </w:rPr>
        <w:t>领域</w:t>
      </w:r>
      <w:r>
        <w:rPr>
          <w:rFonts w:hint="eastAsia" w:hAnsi="仿宋_GB2312" w:cs="仿宋_GB2312"/>
          <w:sz w:val="32"/>
          <w:szCs w:val="32"/>
          <w:lang w:val="en-US" w:eastAsia="zh-CN"/>
        </w:rPr>
        <w:t>1</w:t>
      </w:r>
      <w:r>
        <w:rPr>
          <w:rFonts w:hint="eastAsia" w:ascii="仿宋_GB2312" w:hAnsi="仿宋_GB2312" w:eastAsia="仿宋_GB2312" w:cs="仿宋_GB2312"/>
          <w:sz w:val="32"/>
          <w:szCs w:val="32"/>
        </w:rPr>
        <w:t>批次，流通领域</w:t>
      </w:r>
      <w:r>
        <w:rPr>
          <w:rFonts w:hint="eastAsia" w:hAnsi="仿宋_GB2312" w:cs="仿宋_GB2312"/>
          <w:sz w:val="32"/>
          <w:szCs w:val="32"/>
          <w:lang w:val="en-US" w:eastAsia="zh-CN"/>
        </w:rPr>
        <w:t>54家销售单位销售的</w:t>
      </w:r>
      <w:r>
        <w:rPr>
          <w:rFonts w:hint="eastAsia" w:ascii="仿宋_GB2312" w:hAnsi="仿宋_GB2312" w:eastAsia="仿宋_GB2312" w:cs="仿宋_GB2312"/>
          <w:sz w:val="32"/>
          <w:szCs w:val="32"/>
        </w:rPr>
        <w:t>1</w:t>
      </w:r>
      <w:r>
        <w:rPr>
          <w:rFonts w:hint="eastAsia" w:hAnsi="仿宋_GB2312" w:cs="仿宋_GB2312"/>
          <w:sz w:val="32"/>
          <w:szCs w:val="32"/>
          <w:lang w:val="en-US" w:eastAsia="zh-CN"/>
        </w:rPr>
        <w:t>04</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不同</w:t>
      </w:r>
      <w:r>
        <w:rPr>
          <w:rFonts w:hint="eastAsia" w:ascii="仿宋_GB2312" w:hAnsi="仿宋_GB2312" w:eastAsia="仿宋_GB2312" w:cs="仿宋_GB2312"/>
          <w:sz w:val="32"/>
          <w:szCs w:val="32"/>
        </w:rPr>
        <w:t>抽查领域如下</w:t>
      </w:r>
      <w:r>
        <w:rPr>
          <w:rFonts w:hint="eastAsia" w:ascii="仿宋_GB2312" w:hAnsi="仿宋_GB2312" w:eastAsia="仿宋_GB2312" w:cs="仿宋_GB2312"/>
          <w:sz w:val="32"/>
          <w:szCs w:val="32"/>
          <w:lang w:eastAsia="zh-CN"/>
        </w:rPr>
        <w:t>（表</w:t>
      </w:r>
      <w:r>
        <w:rPr>
          <w:rFonts w:hint="eastAsia" w:hAnsi="仿宋_GB2312" w:cs="仿宋_GB2312"/>
          <w:sz w:val="32"/>
          <w:szCs w:val="32"/>
          <w:lang w:val="en-US" w:eastAsia="zh-CN"/>
        </w:rPr>
        <w:t>1</w:t>
      </w:r>
      <w:r>
        <w:rPr>
          <w:rFonts w:hint="eastAsia" w:ascii="仿宋_GB2312" w:hAnsi="仿宋_GB2312" w:eastAsia="仿宋_GB2312" w:cs="仿宋_GB2312"/>
          <w:sz w:val="32"/>
          <w:szCs w:val="32"/>
          <w:lang w:val="en-US" w:eastAsia="zh-CN"/>
        </w:rPr>
        <w:t>、图</w:t>
      </w:r>
      <w:r>
        <w:rPr>
          <w:rFonts w:hint="eastAsia" w:hAnsi="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13"/>
        <w:keepNext w:val="0"/>
        <w:keepLines w:val="0"/>
        <w:pageBreakBefore w:val="0"/>
        <w:kinsoku/>
        <w:wordWrap/>
        <w:overflowPunct/>
        <w:topLinePunct w:val="0"/>
        <w:autoSpaceDE/>
        <w:autoSpaceDN/>
        <w:bidi w:val="0"/>
        <w:adjustRightInd/>
        <w:snapToGrid/>
        <w:spacing w:line="594" w:lineRule="exact"/>
        <w:ind w:firstLineChars="210"/>
        <w:jc w:val="center"/>
        <w:rPr>
          <w:rFonts w:hint="eastAsia" w:ascii="黑体" w:hAnsi="黑体" w:eastAsia="黑体"/>
          <w:color w:val="auto"/>
          <w:sz w:val="20"/>
          <w:szCs w:val="20"/>
          <w:lang w:eastAsia="zh-CN"/>
        </w:rPr>
      </w:pPr>
      <w:r>
        <w:rPr>
          <w:rFonts w:hint="eastAsia" w:ascii="黑体" w:hAnsi="黑体" w:eastAsia="黑体"/>
          <w:color w:val="auto"/>
          <w:sz w:val="20"/>
          <w:szCs w:val="20"/>
        </w:rPr>
        <w:t>表</w:t>
      </w:r>
      <w:r>
        <w:rPr>
          <w:rFonts w:hint="eastAsia" w:ascii="黑体" w:hAnsi="黑体" w:eastAsia="黑体"/>
          <w:color w:val="auto"/>
          <w:sz w:val="20"/>
          <w:szCs w:val="20"/>
          <w:lang w:val="en-US" w:eastAsia="zh-CN"/>
        </w:rPr>
        <w:t>1 不同</w:t>
      </w:r>
      <w:r>
        <w:rPr>
          <w:rFonts w:hint="eastAsia" w:ascii="黑体" w:hAnsi="黑体" w:eastAsia="黑体"/>
          <w:color w:val="auto"/>
          <w:sz w:val="20"/>
          <w:szCs w:val="20"/>
        </w:rPr>
        <w:t>抽查领域</w:t>
      </w:r>
      <w:r>
        <w:rPr>
          <w:rFonts w:ascii="黑体" w:hAnsi="黑体" w:eastAsia="黑体" w:cs="黑体"/>
          <w:color w:val="auto"/>
          <w:spacing w:val="-4"/>
          <w:sz w:val="20"/>
          <w:szCs w:val="20"/>
        </w:rPr>
        <w:t>类抽检情况</w:t>
      </w:r>
    </w:p>
    <w:tbl>
      <w:tblPr>
        <w:tblStyle w:val="11"/>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770"/>
        <w:gridCol w:w="1995"/>
        <w:gridCol w:w="1980"/>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576"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抽查领域</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抽查</w:t>
            </w:r>
            <w:r>
              <w:rPr>
                <w:rFonts w:hint="eastAsia" w:hAnsi="宋体" w:cs="Times New Roman"/>
                <w:color w:val="auto"/>
                <w:kern w:val="0"/>
                <w:sz w:val="18"/>
                <w:szCs w:val="18"/>
                <w:lang w:eastAsia="zh-CN"/>
              </w:rPr>
              <w:t>企业</w:t>
            </w:r>
            <w:r>
              <w:rPr>
                <w:rFonts w:hint="eastAsia" w:ascii="宋体" w:hAnsi="宋体" w:eastAsia="宋体" w:cs="Times New Roman"/>
                <w:color w:val="auto"/>
                <w:kern w:val="0"/>
                <w:sz w:val="18"/>
                <w:szCs w:val="18"/>
                <w:lang w:eastAsia="zh-CN"/>
              </w:rPr>
              <w:t>数</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抽查批次数</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不合格批次数</w:t>
            </w:r>
          </w:p>
        </w:tc>
        <w:tc>
          <w:tcPr>
            <w:tcW w:w="2144"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不合格发现率%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6"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生产领域</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hAnsi="宋体" w:cs="Times New Roman"/>
                <w:color w:val="auto"/>
                <w:kern w:val="0"/>
                <w:sz w:val="18"/>
                <w:szCs w:val="18"/>
                <w:lang w:val="en-US" w:eastAsia="zh-CN"/>
              </w:rPr>
              <w:t>1</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cs="Times New Roman"/>
                <w:color w:val="auto"/>
                <w:kern w:val="0"/>
                <w:sz w:val="18"/>
                <w:szCs w:val="18"/>
                <w:lang w:val="en-US" w:eastAsia="zh-CN"/>
              </w:rPr>
              <w:t>1</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cs="Times New Roman"/>
                <w:color w:val="auto"/>
                <w:kern w:val="0"/>
                <w:sz w:val="18"/>
                <w:szCs w:val="18"/>
                <w:lang w:val="en-US" w:eastAsia="zh-CN"/>
              </w:rPr>
              <w:t>0</w:t>
            </w:r>
          </w:p>
        </w:tc>
        <w:tc>
          <w:tcPr>
            <w:tcW w:w="2144"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cs="Times New Roman"/>
                <w:color w:val="auto"/>
                <w:kern w:val="0"/>
                <w:sz w:val="18"/>
                <w:szCs w:val="18"/>
                <w:lang w:val="en-US" w:eastAsia="zh-CN"/>
              </w:rPr>
            </w:pPr>
            <w:r>
              <w:rPr>
                <w:rFonts w:hint="eastAsia" w:ascii="宋体" w:hAnsi="宋体" w:cs="Times New Roman"/>
                <w:color w:val="auto"/>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6"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流通领域</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hAnsi="宋体" w:cs="Times New Roman"/>
                <w:color w:val="auto"/>
                <w:kern w:val="0"/>
                <w:sz w:val="18"/>
                <w:szCs w:val="18"/>
                <w:lang w:val="en-US" w:eastAsia="zh-CN"/>
              </w:rPr>
              <w:t>54</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cs="Times New Roman"/>
                <w:color w:val="auto"/>
                <w:kern w:val="0"/>
                <w:sz w:val="18"/>
                <w:szCs w:val="18"/>
                <w:lang w:val="en-US" w:eastAsia="zh-CN"/>
              </w:rPr>
              <w:t>104</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cs="Times New Roman"/>
                <w:color w:val="auto"/>
                <w:kern w:val="0"/>
                <w:sz w:val="18"/>
                <w:szCs w:val="18"/>
                <w:lang w:val="en-US" w:eastAsia="zh-CN"/>
              </w:rPr>
              <w:t>14</w:t>
            </w:r>
          </w:p>
        </w:tc>
        <w:tc>
          <w:tcPr>
            <w:tcW w:w="21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6" w:type="dxa"/>
            <w:noWrap w:val="0"/>
            <w:vAlign w:val="center"/>
          </w:tcPr>
          <w:p>
            <w:pPr>
              <w:keepNext w:val="0"/>
              <w:keepLines w:val="0"/>
              <w:pageBreakBefore w:val="0"/>
              <w:widowControl/>
              <w:kinsoku/>
              <w:wordWrap/>
              <w:overflowPunct/>
              <w:topLinePunct w:val="0"/>
              <w:bidi w:val="0"/>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合计</w:t>
            </w:r>
          </w:p>
        </w:tc>
        <w:tc>
          <w:tcPr>
            <w:tcW w:w="1770" w:type="dxa"/>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55</w:t>
            </w:r>
          </w:p>
        </w:tc>
        <w:tc>
          <w:tcPr>
            <w:tcW w:w="1995" w:type="dxa"/>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105</w:t>
            </w:r>
          </w:p>
        </w:tc>
        <w:tc>
          <w:tcPr>
            <w:tcW w:w="1980" w:type="dxa"/>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2144" w:type="dxa"/>
            <w:noWrap w:val="0"/>
            <w:vAlign w:val="center"/>
          </w:tcPr>
          <w:p>
            <w:pPr>
              <w:keepNext w:val="0"/>
              <w:keepLines w:val="0"/>
              <w:widowControl/>
              <w:suppressLineNumbers w:val="0"/>
              <w:jc w:val="center"/>
              <w:textAlignment w:val="center"/>
              <w:rPr>
                <w:rFonts w:hint="eastAsia" w:ascii="宋体" w:hAnsi="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13.33</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eastAsia="zh-CN"/>
        </w:rPr>
      </w:pPr>
      <w:r>
        <w:drawing>
          <wp:inline distT="0" distB="0" distL="114300" distR="114300">
            <wp:extent cx="4572000" cy="2743200"/>
            <wp:effectExtent l="4445" t="4445" r="14605" b="1460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594" w:lineRule="exact"/>
        <w:ind w:firstLine="400" w:firstLineChars="200"/>
        <w:jc w:val="center"/>
        <w:textAlignment w:val="auto"/>
        <w:rPr>
          <w:rFonts w:hint="eastAsia" w:ascii="黑体" w:hAnsi="黑体" w:eastAsia="黑体" w:cs="黑体"/>
          <w:sz w:val="32"/>
          <w:szCs w:val="32"/>
          <w:lang w:eastAsia="zh-CN"/>
        </w:rPr>
      </w:pPr>
      <w:r>
        <w:rPr>
          <w:rFonts w:hint="eastAsia" w:ascii="黑体" w:hAnsi="黑体" w:eastAsia="黑体" w:cs="黑体"/>
          <w:lang w:eastAsia="zh-CN"/>
        </w:rPr>
        <w:t>图</w:t>
      </w:r>
      <w:r>
        <w:rPr>
          <w:rFonts w:hint="eastAsia" w:ascii="黑体" w:hAnsi="黑体" w:eastAsia="黑体" w:cs="黑体"/>
          <w:lang w:val="en-US" w:eastAsia="zh-CN"/>
        </w:rPr>
        <w:t>1</w:t>
      </w:r>
      <w:r>
        <w:rPr>
          <w:rFonts w:hint="eastAsia" w:ascii="黑体" w:hAnsi="黑体" w:eastAsia="黑体" w:cs="黑体"/>
          <w:color w:val="auto"/>
          <w:sz w:val="20"/>
          <w:szCs w:val="20"/>
          <w:highlight w:val="none"/>
          <w:lang w:val="en-US" w:eastAsia="zh-CN"/>
        </w:rPr>
        <w:t xml:space="preserve">  </w:t>
      </w:r>
      <w:r>
        <w:rPr>
          <w:rFonts w:hint="eastAsia" w:ascii="黑体" w:hAnsi="黑体" w:eastAsia="黑体" w:cs="黑体"/>
          <w:color w:val="auto"/>
          <w:sz w:val="20"/>
          <w:szCs w:val="20"/>
          <w:highlight w:val="none"/>
          <w:lang w:eastAsia="zh-CN"/>
        </w:rPr>
        <w:t>不同抽查领域</w:t>
      </w:r>
      <w:r>
        <w:rPr>
          <w:rFonts w:hint="eastAsia" w:ascii="黑体" w:hAnsi="黑体" w:eastAsia="黑体" w:cs="黑体"/>
          <w:color w:val="auto"/>
          <w:spacing w:val="-4"/>
          <w:sz w:val="20"/>
          <w:szCs w:val="20"/>
          <w:highlight w:val="none"/>
        </w:rPr>
        <w:t>抽检情况</w:t>
      </w:r>
    </w:p>
    <w:p>
      <w:pPr>
        <w:pStyle w:val="9"/>
        <w:keepNext w:val="0"/>
        <w:keepLines w:val="0"/>
        <w:pageBreakBefore w:val="0"/>
        <w:widowControl w:val="0"/>
        <w:numPr>
          <w:ilvl w:val="0"/>
          <w:numId w:val="0"/>
        </w:numPr>
        <w:kinsoku/>
        <w:wordWrap/>
        <w:overflowPunct/>
        <w:topLinePunct w:val="0"/>
        <w:bidi w:val="0"/>
        <w:snapToGrid/>
        <w:spacing w:line="594"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hAnsi="仿宋_GB2312" w:cs="仿宋_GB2312"/>
          <w:sz w:val="32"/>
          <w:szCs w:val="32"/>
          <w:lang w:eastAsia="zh-CN"/>
        </w:rPr>
        <w:t>二</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按产品类型统计不合格率</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此次抽查的</w:t>
      </w:r>
      <w:r>
        <w:rPr>
          <w:rFonts w:hint="eastAsia" w:ascii="仿宋_GB2312" w:hAnsi="仿宋_GB2312" w:eastAsia="仿宋_GB2312" w:cs="仿宋_GB2312"/>
          <w:color w:val="000000"/>
          <w:sz w:val="32"/>
          <w:szCs w:val="32"/>
          <w:highlight w:val="none"/>
          <w:lang w:val="en-US" w:eastAsia="zh-CN" w:bidi="ar-SA"/>
        </w:rPr>
        <w:t>燃气用具相关、烟花爆竹、消防产品、防护用品、电动车及其配件、插头插座、汽车风窗玻璃清洗液等产品</w:t>
      </w:r>
      <w:r>
        <w:rPr>
          <w:rFonts w:hint="eastAsia" w:ascii="仿宋_GB2312" w:hAnsi="仿宋_GB2312" w:eastAsia="仿宋_GB2312" w:cs="仿宋_GB2312"/>
          <w:color w:val="000000"/>
          <w:sz w:val="32"/>
          <w:szCs w:val="32"/>
          <w:lang w:val="en-US" w:eastAsia="zh-CN" w:bidi="ar-SA"/>
        </w:rPr>
        <w:t>共105批次产品。其中：</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燃气用具相关产品共抽检15批次，不合格5批次，不合格率33.33%；</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烟花爆竹共抽检10批次，不合格0批次，不合格率0%；</w:t>
      </w:r>
    </w:p>
    <w:p>
      <w:pPr>
        <w:snapToGrid w:val="0"/>
        <w:spacing w:line="360" w:lineRule="auto"/>
        <w:ind w:firstLine="640" w:firstLineChars="200"/>
        <w:jc w:val="left"/>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lang w:val="en-US" w:eastAsia="zh-CN" w:bidi="ar-SA"/>
        </w:rPr>
        <w:t>消防产品共抽</w:t>
      </w:r>
      <w:r>
        <w:rPr>
          <w:rFonts w:hint="eastAsia" w:ascii="仿宋_GB2312" w:hAnsi="仿宋_GB2312" w:eastAsia="仿宋_GB2312" w:cs="仿宋_GB2312"/>
          <w:color w:val="000000"/>
          <w:sz w:val="32"/>
          <w:szCs w:val="32"/>
          <w:highlight w:val="none"/>
          <w:lang w:val="en-US" w:eastAsia="zh-CN" w:bidi="ar-SA"/>
        </w:rPr>
        <w:t>检25批次，不合格3批次，不合格率12%。</w:t>
      </w:r>
    </w:p>
    <w:p>
      <w:pPr>
        <w:snapToGrid w:val="0"/>
        <w:spacing w:line="360" w:lineRule="auto"/>
        <w:ind w:firstLine="640" w:firstLineChars="200"/>
        <w:jc w:val="left"/>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防护用品共抽检14批次，不合格1批次，不合格率7.14%。</w:t>
      </w:r>
    </w:p>
    <w:p>
      <w:pPr>
        <w:snapToGrid w:val="0"/>
        <w:spacing w:line="360" w:lineRule="auto"/>
        <w:ind w:firstLine="640" w:firstLineChars="200"/>
        <w:jc w:val="left"/>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电动车及其配件共抽检26批次，不合格5批次，不合格率19.23%。</w:t>
      </w:r>
    </w:p>
    <w:p>
      <w:pPr>
        <w:pStyle w:val="2"/>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插头插座共抽检5批次，不合格0批次，不合格率0%。</w:t>
      </w:r>
    </w:p>
    <w:p>
      <w:pPr>
        <w:pStyle w:val="2"/>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highlight w:val="none"/>
          <w:lang w:val="en-US" w:eastAsia="zh-CN" w:bidi="ar-SA"/>
        </w:rPr>
        <w:t>汽车风窗玻璃清洗液</w:t>
      </w:r>
      <w:r>
        <w:rPr>
          <w:rFonts w:hint="eastAsia" w:ascii="仿宋_GB2312" w:hAnsi="仿宋_GB2312" w:eastAsia="仿宋_GB2312" w:cs="仿宋_GB2312"/>
          <w:color w:val="000000"/>
          <w:sz w:val="32"/>
          <w:szCs w:val="32"/>
          <w:lang w:val="en-US" w:eastAsia="zh-CN" w:bidi="ar-SA"/>
        </w:rPr>
        <w:t>共抽检10批次，不合格0批次，不合格率0%。</w:t>
      </w:r>
    </w:p>
    <w:p>
      <w:pPr>
        <w:pStyle w:val="13"/>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不同产品类型具体抽检情况</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2、图2和图3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105" w:line="594" w:lineRule="exact"/>
        <w:ind w:firstLine="3165"/>
        <w:jc w:val="left"/>
        <w:rPr>
          <w:rFonts w:ascii="黑体" w:hAnsi="黑体" w:eastAsia="黑体" w:cs="黑体"/>
          <w:color w:val="auto"/>
          <w:sz w:val="20"/>
          <w:szCs w:val="20"/>
        </w:rPr>
      </w:pPr>
      <w:r>
        <w:rPr>
          <w:rFonts w:ascii="黑体" w:hAnsi="黑体" w:eastAsia="黑体" w:cs="黑体"/>
          <w:color w:val="auto"/>
          <w:spacing w:val="-4"/>
          <w:sz w:val="20"/>
          <w:szCs w:val="20"/>
        </w:rPr>
        <w:t>表</w:t>
      </w:r>
      <w:r>
        <w:rPr>
          <w:rFonts w:ascii="黑体" w:hAnsi="黑体" w:eastAsia="黑体" w:cs="黑体"/>
          <w:color w:val="auto"/>
          <w:spacing w:val="-19"/>
          <w:sz w:val="20"/>
          <w:szCs w:val="20"/>
        </w:rPr>
        <w:t xml:space="preserve"> </w:t>
      </w:r>
      <w:r>
        <w:rPr>
          <w:rFonts w:hint="eastAsia" w:ascii="黑体" w:hAnsi="黑体" w:eastAsia="黑体" w:cs="黑体"/>
          <w:color w:val="auto"/>
          <w:spacing w:val="-19"/>
          <w:sz w:val="20"/>
          <w:szCs w:val="20"/>
          <w:lang w:val="en-US" w:eastAsia="zh-CN"/>
        </w:rPr>
        <w:t>2</w:t>
      </w:r>
      <w:r>
        <w:rPr>
          <w:rFonts w:hint="eastAsia" w:ascii="黑体" w:hAnsi="黑体" w:eastAsia="黑体" w:cs="黑体"/>
          <w:color w:val="auto"/>
          <w:spacing w:val="10"/>
          <w:sz w:val="20"/>
          <w:szCs w:val="20"/>
          <w:lang w:val="en-US" w:eastAsia="zh-CN"/>
        </w:rPr>
        <w:t xml:space="preserve">  </w:t>
      </w:r>
      <w:r>
        <w:rPr>
          <w:rFonts w:ascii="黑体" w:hAnsi="黑体" w:eastAsia="黑体" w:cs="黑体"/>
          <w:color w:val="auto"/>
          <w:spacing w:val="-4"/>
          <w:sz w:val="20"/>
          <w:szCs w:val="20"/>
        </w:rPr>
        <w:t>不同产品</w:t>
      </w:r>
      <w:r>
        <w:rPr>
          <w:rFonts w:hint="eastAsia" w:ascii="黑体" w:hAnsi="黑体" w:eastAsia="黑体" w:cs="黑体"/>
          <w:color w:val="auto"/>
          <w:spacing w:val="-4"/>
          <w:sz w:val="20"/>
          <w:szCs w:val="20"/>
          <w:lang w:eastAsia="zh-CN"/>
        </w:rPr>
        <w:t>类型</w:t>
      </w:r>
      <w:r>
        <w:rPr>
          <w:rFonts w:ascii="黑体" w:hAnsi="黑体" w:eastAsia="黑体" w:cs="黑体"/>
          <w:color w:val="auto"/>
          <w:spacing w:val="-4"/>
          <w:sz w:val="20"/>
          <w:szCs w:val="20"/>
        </w:rPr>
        <w:t>抽检情况表</w:t>
      </w:r>
    </w:p>
    <w:tbl>
      <w:tblPr>
        <w:tblStyle w:val="11"/>
        <w:tblW w:w="8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3"/>
        <w:gridCol w:w="1934"/>
        <w:gridCol w:w="1916"/>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1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产品类型</w:t>
            </w:r>
          </w:p>
        </w:tc>
        <w:tc>
          <w:tcPr>
            <w:tcW w:w="193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抽查批次数</w:t>
            </w:r>
          </w:p>
        </w:tc>
        <w:tc>
          <w:tcPr>
            <w:tcW w:w="19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不合格批次数</w:t>
            </w:r>
          </w:p>
        </w:tc>
        <w:tc>
          <w:tcPr>
            <w:tcW w:w="21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不合格发现率%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燃气用具相关</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烟花爆竹</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消防产品</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防护用品</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电动车及其配件</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插头插座</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汽车风窗玻璃清洗液</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13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bidi="ar"/>
              </w:rPr>
              <w:t>合计</w:t>
            </w:r>
          </w:p>
        </w:tc>
        <w:tc>
          <w:tcPr>
            <w:tcW w:w="193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91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w:t>
            </w:r>
          </w:p>
        </w:tc>
      </w:tr>
    </w:tbl>
    <w:p>
      <w:pPr>
        <w:pStyle w:val="9"/>
        <w:keepNext w:val="0"/>
        <w:keepLines w:val="0"/>
        <w:pageBreakBefore w:val="0"/>
        <w:widowControl w:val="0"/>
        <w:kinsoku/>
        <w:wordWrap/>
        <w:overflowPunct/>
        <w:topLinePunct w:val="0"/>
        <w:bidi w:val="0"/>
        <w:snapToGrid/>
        <w:spacing w:line="240" w:lineRule="auto"/>
        <w:ind w:left="0" w:leftChars="0" w:firstLine="0" w:firstLineChars="0"/>
        <w:rPr>
          <w:rFonts w:hint="eastAsia"/>
          <w:lang w:val="en-US" w:eastAsia="zh-CN"/>
        </w:rPr>
      </w:pPr>
      <w:r>
        <w:rPr>
          <w:rFonts w:hint="eastAsia"/>
          <w:lang w:val="en-US" w:eastAsia="zh-CN"/>
        </w:rPr>
        <w:t xml:space="preserve">      </w:t>
      </w:r>
    </w:p>
    <w:p>
      <w:pPr>
        <w:pStyle w:val="9"/>
        <w:keepNext w:val="0"/>
        <w:keepLines w:val="0"/>
        <w:pageBreakBefore w:val="0"/>
        <w:widowControl w:val="0"/>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sz w:val="32"/>
          <w:szCs w:val="32"/>
          <w:lang w:eastAsia="zh-CN"/>
        </w:rPr>
      </w:pPr>
      <w:r>
        <w:drawing>
          <wp:inline distT="0" distB="0" distL="114300" distR="114300">
            <wp:extent cx="4572000" cy="2743200"/>
            <wp:effectExtent l="4445" t="4445" r="14605" b="1460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jc w:val="center"/>
        <w:rPr>
          <w:rFonts w:hint="eastAsia" w:ascii="黑体" w:hAnsi="黑体" w:eastAsia="黑体" w:cs="黑体"/>
          <w:kern w:val="0"/>
          <w:sz w:val="20"/>
          <w:szCs w:val="20"/>
          <w:lang w:val="en-US" w:eastAsia="zh-CN" w:bidi="ar-SA"/>
        </w:rPr>
      </w:pPr>
      <w:r>
        <w:rPr>
          <w:rFonts w:hint="eastAsia" w:ascii="黑体" w:hAnsi="黑体" w:eastAsia="黑体" w:cs="黑体"/>
          <w:kern w:val="0"/>
          <w:sz w:val="20"/>
          <w:szCs w:val="20"/>
          <w:lang w:val="en-US" w:eastAsia="zh-CN" w:bidi="ar-SA"/>
        </w:rPr>
        <w:t>图2  不同产品类型抽检情况</w:t>
      </w:r>
    </w:p>
    <w:p>
      <w:pPr>
        <w:pStyle w:val="4"/>
      </w:pPr>
    </w:p>
    <w:p>
      <w:pPr>
        <w:pStyle w:val="2"/>
        <w:jc w:val="center"/>
        <w:rPr>
          <w:rFonts w:hint="eastAsia" w:ascii="黑体" w:hAnsi="黑体" w:eastAsia="黑体" w:cs="黑体"/>
          <w:color w:val="auto"/>
          <w:spacing w:val="-4"/>
          <w:sz w:val="20"/>
          <w:szCs w:val="20"/>
          <w:highlight w:val="none"/>
        </w:rPr>
      </w:pPr>
      <w:r>
        <w:drawing>
          <wp:inline distT="0" distB="0" distL="114300" distR="114300">
            <wp:extent cx="4572000" cy="2743200"/>
            <wp:effectExtent l="4445" t="4445" r="14605" b="1460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jc w:val="center"/>
        <w:rPr>
          <w:rFonts w:hint="eastAsia" w:ascii="黑体" w:hAnsi="黑体" w:eastAsia="黑体" w:cs="黑体"/>
          <w:kern w:val="0"/>
          <w:sz w:val="20"/>
          <w:szCs w:val="20"/>
          <w:lang w:val="en-US" w:eastAsia="zh-CN" w:bidi="ar-SA"/>
        </w:rPr>
      </w:pPr>
      <w:r>
        <w:rPr>
          <w:rFonts w:hint="eastAsia" w:ascii="黑体" w:hAnsi="黑体" w:eastAsia="黑体" w:cs="黑体"/>
          <w:kern w:val="0"/>
          <w:sz w:val="20"/>
          <w:szCs w:val="20"/>
          <w:lang w:val="en-US" w:eastAsia="zh-CN" w:bidi="ar-SA"/>
        </w:rPr>
        <w:t>图3 不同产品类型抽查占比情况</w:t>
      </w:r>
    </w:p>
    <w:p>
      <w:pPr>
        <w:pStyle w:val="9"/>
        <w:keepNext w:val="0"/>
        <w:keepLines w:val="0"/>
        <w:pageBreakBefore w:val="0"/>
        <w:widowControl w:val="0"/>
        <w:kinsoku/>
        <w:wordWrap/>
        <w:overflowPunct/>
        <w:topLinePunct w:val="0"/>
        <w:bidi w:val="0"/>
        <w:snapToGrid/>
        <w:spacing w:line="594" w:lineRule="exact"/>
        <w:ind w:left="0" w:leftChars="0" w:firstLine="0" w:firstLineChars="0"/>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eastAsia="zh-CN"/>
        </w:rPr>
        <w:t>（</w:t>
      </w:r>
      <w:r>
        <w:rPr>
          <w:rFonts w:hint="eastAsia" w:hAnsi="仿宋_GB2312" w:cs="仿宋_GB2312"/>
          <w:sz w:val="32"/>
          <w:szCs w:val="32"/>
          <w:lang w:eastAsia="zh-CN"/>
        </w:rPr>
        <w:t>三</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按</w:t>
      </w:r>
      <w:r>
        <w:rPr>
          <w:rFonts w:hint="eastAsia" w:ascii="楷体_GB2312" w:hAnsi="楷体_GB2312" w:eastAsia="楷体_GB2312" w:cs="楷体_GB2312"/>
          <w:sz w:val="32"/>
          <w:szCs w:val="32"/>
          <w:lang w:eastAsia="zh-CN"/>
        </w:rPr>
        <w:t>销售</w:t>
      </w:r>
      <w:r>
        <w:rPr>
          <w:rFonts w:hint="eastAsia" w:ascii="楷体_GB2312" w:hAnsi="楷体_GB2312" w:eastAsia="楷体_GB2312" w:cs="楷体_GB2312"/>
          <w:sz w:val="32"/>
          <w:szCs w:val="32"/>
        </w:rPr>
        <w:t>企业所在地统计企业和产品不合格率</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此次商品抽查共涉及4个地区，105批次样品，经检验其中：</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濉溪县抽查27批次，合格20批次，合格率74.07%；</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杜集区抽查21批次，合格19批次，合格率90.48%；</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相山区抽查53批次，合格49批次，合格率92.45%；</w:t>
      </w:r>
    </w:p>
    <w:p>
      <w:pPr>
        <w:snapToGrid w:val="0"/>
        <w:spacing w:line="360" w:lineRule="auto"/>
        <w:ind w:firstLine="640" w:firstLineChars="200"/>
        <w:jc w:val="left"/>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烈山区抽查4批次，合格3批次，合格率75%；</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不同抽检地区具体抽检情况如下</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3、图4和图5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13"/>
        <w:keepNext w:val="0"/>
        <w:keepLines w:val="0"/>
        <w:pageBreakBefore w:val="0"/>
        <w:kinsoku/>
        <w:wordWrap/>
        <w:overflowPunct/>
        <w:topLinePunct w:val="0"/>
        <w:bidi w:val="0"/>
        <w:spacing w:line="594" w:lineRule="exact"/>
        <w:ind w:firstLineChars="210"/>
        <w:jc w:val="center"/>
        <w:rPr>
          <w:rFonts w:hint="eastAsia" w:ascii="仿宋_GB2312" w:hAnsi="仿宋_GB2312" w:eastAsia="仿宋_GB2312" w:cs="仿宋_GB2312"/>
          <w:sz w:val="32"/>
          <w:szCs w:val="32"/>
        </w:rPr>
      </w:pPr>
      <w:r>
        <w:rPr>
          <w:rFonts w:hint="eastAsia" w:ascii="黑体" w:hAnsi="黑体" w:eastAsia="黑体" w:cs="黑体"/>
          <w:color w:val="auto"/>
          <w:spacing w:val="-4"/>
          <w:sz w:val="20"/>
          <w:szCs w:val="20"/>
        </w:rPr>
        <w:t>表</w:t>
      </w:r>
      <w:r>
        <w:rPr>
          <w:rFonts w:hint="eastAsia" w:ascii="黑体" w:hAnsi="黑体" w:eastAsia="黑体" w:cs="黑体"/>
          <w:color w:val="auto"/>
          <w:spacing w:val="-4"/>
          <w:sz w:val="20"/>
          <w:szCs w:val="20"/>
          <w:lang w:val="en-US" w:eastAsia="zh-CN"/>
        </w:rPr>
        <w:t>3</w:t>
      </w:r>
      <w:r>
        <w:rPr>
          <w:rFonts w:hint="eastAsia" w:ascii="黑体" w:hAnsi="黑体" w:eastAsia="黑体" w:cs="黑体"/>
          <w:color w:val="auto"/>
          <w:spacing w:val="-4"/>
          <w:sz w:val="20"/>
          <w:szCs w:val="20"/>
        </w:rPr>
        <w:t xml:space="preserve"> </w:t>
      </w:r>
      <w:r>
        <w:rPr>
          <w:rFonts w:hint="eastAsia" w:ascii="黑体" w:hAnsi="黑体" w:eastAsia="黑体" w:cs="黑体"/>
          <w:color w:val="auto"/>
          <w:spacing w:val="-4"/>
          <w:sz w:val="20"/>
          <w:szCs w:val="20"/>
          <w:lang w:val="en-US" w:eastAsia="zh-CN"/>
        </w:rPr>
        <w:t xml:space="preserve"> </w:t>
      </w:r>
      <w:r>
        <w:rPr>
          <w:rFonts w:ascii="黑体" w:hAnsi="黑体" w:eastAsia="黑体" w:cs="黑体"/>
          <w:color w:val="auto"/>
          <w:spacing w:val="-3"/>
          <w:sz w:val="20"/>
          <w:szCs w:val="20"/>
        </w:rPr>
        <w:t>不同地区抽检情况表</w:t>
      </w:r>
    </w:p>
    <w:tbl>
      <w:tblPr>
        <w:tblStyle w:val="11"/>
        <w:tblW w:w="8720" w:type="dxa"/>
        <w:jc w:val="center"/>
        <w:tblLayout w:type="fixed"/>
        <w:tblCellMar>
          <w:top w:w="0" w:type="dxa"/>
          <w:left w:w="108" w:type="dxa"/>
          <w:bottom w:w="0" w:type="dxa"/>
          <w:right w:w="108" w:type="dxa"/>
        </w:tblCellMar>
      </w:tblPr>
      <w:tblGrid>
        <w:gridCol w:w="1179"/>
        <w:gridCol w:w="1225"/>
        <w:gridCol w:w="1333"/>
        <w:gridCol w:w="1245"/>
        <w:gridCol w:w="1246"/>
        <w:gridCol w:w="1246"/>
        <w:gridCol w:w="1246"/>
      </w:tblGrid>
      <w:tr>
        <w:tblPrEx>
          <w:tblCellMar>
            <w:top w:w="0" w:type="dxa"/>
            <w:left w:w="108" w:type="dxa"/>
            <w:bottom w:w="0" w:type="dxa"/>
            <w:right w:w="108" w:type="dxa"/>
          </w:tblCellMar>
        </w:tblPrEx>
        <w:trPr>
          <w:trHeight w:val="1128" w:hRule="atLeast"/>
          <w:tblHeader/>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销售企业所在地</w:t>
            </w:r>
          </w:p>
        </w:tc>
        <w:tc>
          <w:tcPr>
            <w:tcW w:w="12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抽查企业数</w:t>
            </w:r>
          </w:p>
        </w:tc>
        <w:tc>
          <w:tcPr>
            <w:tcW w:w="13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不合格企业数</w:t>
            </w:r>
          </w:p>
        </w:tc>
        <w:tc>
          <w:tcPr>
            <w:tcW w:w="12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企业抽查不合格率（%）</w:t>
            </w:r>
          </w:p>
        </w:tc>
        <w:tc>
          <w:tcPr>
            <w:tcW w:w="12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抽查样品数</w:t>
            </w:r>
          </w:p>
        </w:tc>
        <w:tc>
          <w:tcPr>
            <w:tcW w:w="12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不合格样品数</w:t>
            </w:r>
          </w:p>
        </w:tc>
        <w:tc>
          <w:tcPr>
            <w:tcW w:w="12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eastAsia="zh-CN"/>
              </w:rPr>
            </w:pPr>
            <w:r>
              <w:rPr>
                <w:rFonts w:hint="eastAsia" w:ascii="宋体" w:hAnsi="宋体" w:eastAsia="宋体" w:cs="Times New Roman"/>
                <w:color w:val="auto"/>
                <w:kern w:val="0"/>
                <w:sz w:val="18"/>
                <w:szCs w:val="18"/>
                <w:lang w:eastAsia="zh-CN"/>
              </w:rPr>
              <w:t>抽样不合格率（%）</w:t>
            </w:r>
          </w:p>
        </w:tc>
      </w:tr>
      <w:tr>
        <w:tblPrEx>
          <w:tblCellMar>
            <w:top w:w="0" w:type="dxa"/>
            <w:left w:w="108" w:type="dxa"/>
            <w:bottom w:w="0" w:type="dxa"/>
            <w:right w:w="108" w:type="dxa"/>
          </w:tblCellMar>
        </w:tblPrEx>
        <w:trPr>
          <w:trHeight w:val="486"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濉溪县</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15</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6</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27</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7</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25.93</w:t>
            </w:r>
          </w:p>
        </w:tc>
      </w:tr>
      <w:tr>
        <w:tblPrEx>
          <w:tblCellMar>
            <w:top w:w="0" w:type="dxa"/>
            <w:left w:w="108" w:type="dxa"/>
            <w:bottom w:w="0" w:type="dxa"/>
            <w:right w:w="108" w:type="dxa"/>
          </w:tblCellMar>
        </w:tblPrEx>
        <w:trPr>
          <w:trHeight w:val="486"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杜集区</w:t>
            </w:r>
          </w:p>
        </w:tc>
        <w:tc>
          <w:tcPr>
            <w:tcW w:w="12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14</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2</w:t>
            </w:r>
          </w:p>
        </w:tc>
        <w:tc>
          <w:tcPr>
            <w:tcW w:w="12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14.29</w:t>
            </w:r>
          </w:p>
        </w:tc>
        <w:tc>
          <w:tcPr>
            <w:tcW w:w="12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21</w:t>
            </w:r>
          </w:p>
        </w:tc>
        <w:tc>
          <w:tcPr>
            <w:tcW w:w="12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2</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9.52</w:t>
            </w:r>
          </w:p>
        </w:tc>
      </w:tr>
      <w:tr>
        <w:tblPrEx>
          <w:tblCellMar>
            <w:top w:w="0" w:type="dxa"/>
            <w:left w:w="108" w:type="dxa"/>
            <w:bottom w:w="0" w:type="dxa"/>
            <w:right w:w="108" w:type="dxa"/>
          </w:tblCellMar>
        </w:tblPrEx>
        <w:trPr>
          <w:trHeight w:val="442"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相山区</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22</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3</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13.64</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53</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4</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7.55</w:t>
            </w:r>
          </w:p>
        </w:tc>
      </w:tr>
      <w:tr>
        <w:tblPrEx>
          <w:tblCellMar>
            <w:top w:w="0" w:type="dxa"/>
            <w:left w:w="108" w:type="dxa"/>
            <w:bottom w:w="0" w:type="dxa"/>
            <w:right w:w="108" w:type="dxa"/>
          </w:tblCellMar>
        </w:tblPrEx>
        <w:trPr>
          <w:trHeight w:val="442"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烈山区</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4</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1</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4</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1</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w:t>
            </w:r>
          </w:p>
        </w:tc>
      </w:tr>
      <w:tr>
        <w:tblPrEx>
          <w:tblCellMar>
            <w:top w:w="0" w:type="dxa"/>
            <w:left w:w="108" w:type="dxa"/>
            <w:bottom w:w="0" w:type="dxa"/>
            <w:right w:w="108" w:type="dxa"/>
          </w:tblCellMar>
        </w:tblPrEx>
        <w:trPr>
          <w:trHeight w:val="442"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94" w:lineRule="exact"/>
              <w:jc w:val="center"/>
              <w:textAlignment w:val="center"/>
              <w:rPr>
                <w:rFonts w:hint="eastAsia"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lang w:val="en-US" w:eastAsia="zh-CN"/>
              </w:rPr>
              <w:t>合计</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55</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21.82</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105</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13.33</w:t>
            </w:r>
          </w:p>
        </w:tc>
      </w:tr>
    </w:tbl>
    <w:p>
      <w:pPr>
        <w:pStyle w:val="9"/>
        <w:keepNext w:val="0"/>
        <w:keepLines w:val="0"/>
        <w:pageBreakBefore w:val="0"/>
        <w:widowControl w:val="0"/>
        <w:numPr>
          <w:ilvl w:val="0"/>
          <w:numId w:val="0"/>
        </w:numPr>
        <w:kinsoku/>
        <w:wordWrap/>
        <w:overflowPunct/>
        <w:topLinePunct w:val="0"/>
        <w:bidi w:val="0"/>
        <w:snapToGrid/>
        <w:spacing w:line="240" w:lineRule="auto"/>
        <w:jc w:val="center"/>
      </w:pPr>
      <w:r>
        <w:drawing>
          <wp:inline distT="0" distB="0" distL="114300" distR="114300">
            <wp:extent cx="4572000" cy="274320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9"/>
        <w:keepNext w:val="0"/>
        <w:keepLines w:val="0"/>
        <w:pageBreakBefore w:val="0"/>
        <w:widowControl w:val="0"/>
        <w:numPr>
          <w:ilvl w:val="0"/>
          <w:numId w:val="0"/>
        </w:numPr>
        <w:kinsoku/>
        <w:wordWrap/>
        <w:overflowPunct/>
        <w:topLinePunct w:val="0"/>
        <w:bidi w:val="0"/>
        <w:snapToGrid/>
        <w:spacing w:line="240" w:lineRule="auto"/>
        <w:ind w:firstLine="3200" w:firstLineChars="1600"/>
        <w:jc w:val="both"/>
        <w:rPr>
          <w:rFonts w:hint="eastAsia" w:ascii="黑体" w:hAnsi="黑体" w:eastAsia="黑体" w:cs="黑体"/>
          <w:color w:val="auto"/>
          <w:sz w:val="20"/>
          <w:szCs w:val="20"/>
          <w:lang w:val="en-US" w:eastAsia="zh-CN" w:bidi="ar-SA"/>
        </w:rPr>
      </w:pPr>
      <w:r>
        <w:rPr>
          <w:rFonts w:hint="eastAsia" w:ascii="黑体" w:hAnsi="黑体" w:eastAsia="黑体" w:cs="黑体"/>
          <w:color w:val="auto"/>
          <w:sz w:val="20"/>
          <w:szCs w:val="20"/>
          <w:lang w:val="en-US" w:eastAsia="zh-CN" w:bidi="ar-SA"/>
        </w:rPr>
        <w:t>图4  不同地区抽检情况</w:t>
      </w:r>
    </w:p>
    <w:p>
      <w:pPr>
        <w:pStyle w:val="9"/>
        <w:keepNext w:val="0"/>
        <w:keepLines w:val="0"/>
        <w:pageBreakBefore w:val="0"/>
        <w:widowControl w:val="0"/>
        <w:numPr>
          <w:ilvl w:val="0"/>
          <w:numId w:val="0"/>
        </w:numPr>
        <w:kinsoku/>
        <w:wordWrap/>
        <w:overflowPunct/>
        <w:topLinePunct w:val="0"/>
        <w:bidi w:val="0"/>
        <w:snapToGrid/>
        <w:spacing w:line="240" w:lineRule="auto"/>
        <w:ind w:left="0" w:leftChars="0"/>
        <w:jc w:val="center"/>
      </w:pPr>
      <w:r>
        <w:drawing>
          <wp:inline distT="0" distB="0" distL="114300" distR="114300">
            <wp:extent cx="4572000" cy="2743200"/>
            <wp:effectExtent l="4445" t="4445" r="14605" b="1460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9"/>
        <w:keepNext w:val="0"/>
        <w:keepLines w:val="0"/>
        <w:pageBreakBefore w:val="0"/>
        <w:widowControl w:val="0"/>
        <w:numPr>
          <w:ilvl w:val="0"/>
          <w:numId w:val="0"/>
        </w:numPr>
        <w:kinsoku/>
        <w:wordWrap/>
        <w:overflowPunct/>
        <w:topLinePunct w:val="0"/>
        <w:bidi w:val="0"/>
        <w:snapToGrid/>
        <w:spacing w:line="240" w:lineRule="auto"/>
        <w:ind w:firstLine="3200" w:firstLineChars="1600"/>
        <w:jc w:val="both"/>
        <w:rPr>
          <w:rFonts w:hint="eastAsia" w:ascii="黑体" w:hAnsi="黑体" w:eastAsia="黑体" w:cs="黑体"/>
          <w:lang w:eastAsia="zh-CN"/>
        </w:rPr>
      </w:pPr>
      <w:r>
        <w:rPr>
          <w:rFonts w:hint="eastAsia" w:ascii="黑体" w:hAnsi="黑体" w:eastAsia="黑体" w:cs="黑体"/>
          <w:color w:val="auto"/>
          <w:sz w:val="20"/>
          <w:szCs w:val="20"/>
          <w:lang w:val="en-US" w:eastAsia="zh-CN" w:bidi="ar-SA"/>
        </w:rPr>
        <w:t>图5 不同地区抽检占比情况</w:t>
      </w:r>
    </w:p>
    <w:p>
      <w:pPr>
        <w:keepNext w:val="0"/>
        <w:keepLines w:val="0"/>
        <w:pageBreakBefore w:val="0"/>
        <w:kinsoku/>
        <w:wordWrap/>
        <w:overflowPunct/>
        <w:topLinePunct w:val="0"/>
        <w:bidi w:val="0"/>
        <w:spacing w:line="594" w:lineRule="exact"/>
        <w:ind w:firstLine="640" w:firstLineChars="200"/>
        <w:jc w:val="both"/>
        <w:outlineLvl w:val="0"/>
        <w:rPr>
          <w:rFonts w:hint="eastAsia" w:ascii="仿宋_GB2312" w:hAnsi="仿宋_GB2312" w:eastAsia="仿宋_GB2312" w:cs="仿宋_GB2312"/>
          <w:color w:val="000000"/>
          <w:kern w:val="0"/>
          <w:sz w:val="32"/>
          <w:szCs w:val="32"/>
          <w:lang w:val="en-US" w:eastAsia="zh-CN" w:bidi="ar-SA"/>
        </w:rPr>
      </w:pPr>
      <w:bookmarkStart w:id="4" w:name="_Toc15232"/>
      <w:r>
        <w:rPr>
          <w:rFonts w:hint="eastAsia" w:ascii="黑体" w:hAnsi="宋体" w:eastAsia="黑体"/>
          <w:sz w:val="32"/>
          <w:szCs w:val="32"/>
          <w:lang w:eastAsia="zh-CN"/>
        </w:rPr>
        <w:t>三、抽查结果反映的主要问题及其原因分析</w:t>
      </w:r>
      <w:bookmarkEnd w:id="4"/>
    </w:p>
    <w:p>
      <w:pPr>
        <w:pStyle w:val="9"/>
        <w:keepNext w:val="0"/>
        <w:keepLines w:val="0"/>
        <w:pageBreakBefore w:val="0"/>
        <w:widowControl w:val="0"/>
        <w:kinsoku/>
        <w:wordWrap/>
        <w:overflowPunct/>
        <w:topLinePunct w:val="0"/>
        <w:bidi w:val="0"/>
        <w:snapToGrid/>
        <w:spacing w:line="594" w:lineRule="exact"/>
        <w:ind w:left="0" w:leftChars="0" w:firstLine="640" w:firstLineChars="200"/>
        <w:rPr>
          <w:rFonts w:hint="eastAsia" w:hAnsi="仿宋_GB2312" w:cs="仿宋_GB2312"/>
          <w:color w:val="000000"/>
          <w:spacing w:val="4"/>
          <w:sz w:val="32"/>
          <w:szCs w:val="32"/>
          <w:highlight w:val="none"/>
          <w:lang w:val="en-US" w:eastAsia="zh-CN"/>
        </w:rPr>
      </w:pPr>
      <w:r>
        <w:rPr>
          <w:rFonts w:hint="eastAsia" w:ascii="仿宋_GB2312" w:hAnsi="仿宋_GB2312" w:eastAsia="仿宋_GB2312" w:cs="仿宋_GB2312"/>
          <w:sz w:val="32"/>
          <w:szCs w:val="32"/>
        </w:rPr>
        <w:t>（</w:t>
      </w:r>
      <w:r>
        <w:rPr>
          <w:rFonts w:hint="eastAsia" w:hAnsi="仿宋_GB2312" w:cs="仿宋_GB2312"/>
          <w:sz w:val="32"/>
          <w:szCs w:val="32"/>
          <w:lang w:eastAsia="zh-CN"/>
        </w:rPr>
        <w:t>一</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eastAsia="zh-CN"/>
        </w:rPr>
        <w:t>本次抽查产品检验项目及不合格项目情况</w:t>
      </w:r>
    </w:p>
    <w:p>
      <w:pPr>
        <w:pStyle w:val="2"/>
        <w:spacing w:line="360" w:lineRule="auto"/>
        <w:ind w:firstLine="640" w:firstLineChars="200"/>
        <w:jc w:val="both"/>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本次抽查不合格产品（项目）为：</w:t>
      </w:r>
      <w:r>
        <w:rPr>
          <w:rFonts w:hint="eastAsia" w:ascii="仿宋_GB2312" w:hAnsi="仿宋_GB2312" w:eastAsia="仿宋_GB2312" w:cs="仿宋_GB2312"/>
          <w:color w:val="000000"/>
          <w:spacing w:val="4"/>
          <w:sz w:val="32"/>
          <w:szCs w:val="32"/>
          <w:highlight w:val="none"/>
          <w:lang w:eastAsia="zh-CN"/>
        </w:rPr>
        <w:t>瓶装液化石油气调压</w:t>
      </w:r>
      <w:r>
        <w:rPr>
          <w:rFonts w:hint="eastAsia" w:ascii="仿宋_GB2312" w:hAnsi="仿宋_GB2312" w:eastAsia="仿宋_GB2312" w:cs="仿宋_GB2312"/>
          <w:color w:val="000000"/>
          <w:kern w:val="0"/>
          <w:sz w:val="32"/>
          <w:szCs w:val="32"/>
          <w:lang w:val="en-US" w:eastAsia="zh-CN" w:bidi="ar-SA"/>
        </w:rPr>
        <w:t>器（结构、关闭压力、出口压力、标志、警示和使用说明书）、家用燃气灶具（熄火保护装置、标志）、电动自行车（整车质量、防碰擦、蓄电池的最大输出电压、蓄电池防篡改）、电动自行车充电器（电源连接和外部软线）、口罩（过滤效率）、手提式干粉灭火器（灭火剂主要组分含量（磷酸二氢铵））、消防水带（附着强度），具体如下（见表4）：</w:t>
      </w:r>
    </w:p>
    <w:p>
      <w:pPr>
        <w:pStyle w:val="13"/>
        <w:keepNext w:val="0"/>
        <w:keepLines w:val="0"/>
        <w:pageBreakBefore w:val="0"/>
        <w:kinsoku/>
        <w:wordWrap/>
        <w:overflowPunct/>
        <w:topLinePunct w:val="0"/>
        <w:bidi w:val="0"/>
        <w:spacing w:line="594" w:lineRule="exact"/>
        <w:ind w:firstLineChars="210"/>
        <w:jc w:val="center"/>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auto"/>
          <w:spacing w:val="-4"/>
          <w:sz w:val="20"/>
          <w:szCs w:val="20"/>
        </w:rPr>
        <w:t>表</w:t>
      </w:r>
      <w:r>
        <w:rPr>
          <w:rFonts w:hint="eastAsia" w:ascii="黑体" w:hAnsi="黑体" w:eastAsia="黑体" w:cs="黑体"/>
          <w:color w:val="auto"/>
          <w:spacing w:val="-4"/>
          <w:sz w:val="20"/>
          <w:szCs w:val="20"/>
          <w:lang w:val="en-US" w:eastAsia="zh-CN"/>
        </w:rPr>
        <w:t xml:space="preserve">4 </w:t>
      </w:r>
      <w:r>
        <w:rPr>
          <w:rFonts w:hint="eastAsia" w:ascii="黑体" w:hAnsi="黑体" w:eastAsia="黑体" w:cs="黑体"/>
          <w:color w:val="auto"/>
          <w:spacing w:val="-4"/>
          <w:sz w:val="20"/>
          <w:szCs w:val="20"/>
          <w:lang w:eastAsia="zh-CN"/>
        </w:rPr>
        <w:t>产品检验项目及不合格项目</w:t>
      </w:r>
    </w:p>
    <w:tbl>
      <w:tblPr>
        <w:tblStyle w:val="11"/>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8"/>
        <w:gridCol w:w="1429"/>
        <w:gridCol w:w="4750"/>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588"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42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47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检验项目</w:t>
            </w:r>
          </w:p>
        </w:tc>
        <w:tc>
          <w:tcPr>
            <w:tcW w:w="248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本次共发现的不合格项目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588"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2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瓶装液化石油气调压器</w:t>
            </w:r>
          </w:p>
        </w:tc>
        <w:tc>
          <w:tcPr>
            <w:tcW w:w="47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材料-非金属零部件、结构、外观、气密性、关闭压力、出口压力、标志、警示和使用说明书</w:t>
            </w:r>
          </w:p>
        </w:tc>
        <w:tc>
          <w:tcPr>
            <w:tcW w:w="248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结构、关闭压力、出口压力、标志、警示和使用说明书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6" w:hRule="atLeast"/>
          <w:jc w:val="center"/>
        </w:trPr>
        <w:tc>
          <w:tcPr>
            <w:tcW w:w="588"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42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家用燃气灶具</w:t>
            </w:r>
          </w:p>
        </w:tc>
        <w:tc>
          <w:tcPr>
            <w:tcW w:w="47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气密性、热负荷、燃烧工况、温升、耐热冲击、耐重力冲击、熄火保护装置、热效率、结构-燃气导管、标志</w:t>
            </w:r>
          </w:p>
        </w:tc>
        <w:tc>
          <w:tcPr>
            <w:tcW w:w="248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熄火保护装置、标志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588"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42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电动自行车</w:t>
            </w:r>
          </w:p>
        </w:tc>
        <w:tc>
          <w:tcPr>
            <w:tcW w:w="47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车速限值、制动性能（干态）、整车质量、尺寸限值、防碰擦、车速提示音、把立管安全线、鞍管安全线、反射器、照明和鸣号装置（安装）、导线布线安装、短路保护、蓄电池的最大输出电压、蓄电池防篡改、使用说明书</w:t>
            </w:r>
          </w:p>
        </w:tc>
        <w:tc>
          <w:tcPr>
            <w:tcW w:w="248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整车质量、防碰擦、蓄电池的最大输出电压、蓄电池防篡改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588"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42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电动自行车充电器</w:t>
            </w:r>
          </w:p>
        </w:tc>
        <w:tc>
          <w:tcPr>
            <w:tcW w:w="47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标志和说明、对触及带电部件的防护、发热、非正常工作、结构、电源连接和外部软线、爬电距离、电气间隙、机械强度</w:t>
            </w:r>
          </w:p>
        </w:tc>
        <w:tc>
          <w:tcPr>
            <w:tcW w:w="248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电源连接和外部软线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588"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42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口罩</w:t>
            </w:r>
          </w:p>
        </w:tc>
        <w:tc>
          <w:tcPr>
            <w:tcW w:w="47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吸气阻力、呼气阻力、过滤效率、头带</w:t>
            </w:r>
          </w:p>
        </w:tc>
        <w:tc>
          <w:tcPr>
            <w:tcW w:w="248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588"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42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w:t>
            </w:r>
          </w:p>
        </w:tc>
        <w:tc>
          <w:tcPr>
            <w:tcW w:w="47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灭火器总质量、灭火剂充装总量误差、20℃喷射性能、筒体水压试验、筒体爆破试验、灭火剂主要组分含量（磷酸二氢铵）、标志及外观检查</w:t>
            </w:r>
          </w:p>
        </w:tc>
        <w:tc>
          <w:tcPr>
            <w:tcW w:w="248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灭火剂主要组分含量（磷酸二氢铵）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2" w:hRule="atLeast"/>
          <w:jc w:val="center"/>
        </w:trPr>
        <w:tc>
          <w:tcPr>
            <w:tcW w:w="588"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429"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消防水带</w:t>
            </w:r>
          </w:p>
        </w:tc>
        <w:tc>
          <w:tcPr>
            <w:tcW w:w="4750"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外观质量、内径、长度、单位长度质量、水压试验、爆破试验、附着强度、扯断伸长率、扯断强度</w:t>
            </w:r>
          </w:p>
        </w:tc>
        <w:tc>
          <w:tcPr>
            <w:tcW w:w="2483"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594"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附着强度</w:t>
            </w:r>
          </w:p>
        </w:tc>
      </w:tr>
    </w:tbl>
    <w:p>
      <w:pPr>
        <w:pStyle w:val="9"/>
        <w:keepNext w:val="0"/>
        <w:keepLines w:val="0"/>
        <w:pageBreakBefore w:val="0"/>
        <w:widowControl w:val="0"/>
        <w:kinsoku/>
        <w:wordWrap/>
        <w:overflowPunct/>
        <w:topLinePunct w:val="0"/>
        <w:bidi w:val="0"/>
        <w:snapToGrid/>
        <w:spacing w:line="594"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hAnsi="仿宋_GB2312" w:cs="仿宋_GB2312"/>
          <w:sz w:val="32"/>
          <w:szCs w:val="32"/>
          <w:lang w:eastAsia="zh-CN"/>
        </w:rPr>
        <w:t>二</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eastAsia="zh-CN"/>
        </w:rPr>
        <w:t>不合格项目原因分析及影响</w:t>
      </w:r>
    </w:p>
    <w:p>
      <w:pPr>
        <w:pStyle w:val="2"/>
        <w:ind w:firstLine="576"/>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1、瓶装液化石油气调压器</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1.1结构</w:t>
      </w:r>
    </w:p>
    <w:p>
      <w:pPr>
        <w:pStyle w:val="2"/>
        <w:spacing w:line="360" w:lineRule="auto"/>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不合格的原因：标准规定调压器应采取可靠措施防止改变调压器的设定状态。调压器设定状态的调节部件应被封固。但仍有诸多厂家忽视这个。</w:t>
      </w:r>
    </w:p>
    <w:p>
      <w:pPr>
        <w:pStyle w:val="2"/>
        <w:spacing w:line="360" w:lineRule="auto"/>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不合格项目带来的危害：设定状态如果被用户随意改变的话，会影响出口压力，在使用中易造成燃烧器燃烧不稳定，从而引发事故。</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1.2关闭压力</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不合格的原因：调压器的调压组件设计和膜片的质量问题导致的。</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不合格项目带来的危害：关闭压力过大可能会造成调压器泄漏，从而产生安全隐患或发生燃气安全事故，有较大的安全风险。</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1.3出口压力</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不合格的原因：一是调压器未按标准要求进行设计，二是调压器的调压组件设计和膜片的质量问题。</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不合格项目带来的危害：出口压力偏大会导致燃气用具进口压力过高，从而产生安全隐患或发生燃气安全事故，有较大的安全风险。出口压力偏小会导致燃气用具进口压力过低，影响使用性能。</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1.4标志、警示和使用说明书</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不合格的原因：生产经营者未能严把产品质量关，没有重视并规范标志、警示和使用说明书。</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不合格项目带来的危害：该项目不合格，消费者缺乏正确使用产品的依据，同时剥夺了消费者对商品的知情权，也不利于监管部门的有效监督。</w:t>
      </w:r>
    </w:p>
    <w:p>
      <w:pPr>
        <w:pStyle w:val="2"/>
        <w:ind w:firstLine="576"/>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2、家用燃气灶具</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2.1熄火保护装置</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不合格的原因：标准规定所有类型的灶具每一个燃烧器均应设有熄火保护装置。该项不合格的原因是未设有熄火保护装置。</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不合格项目带来的危害：无熄火保护装置或熄火保护装置发生故障，会导致燃气泄漏，造成中毒、窒息以及燃气爆炸等危险。</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2.2标志</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不合格的原因：生产企业对标准的不重视以及对产品出厂的把控不严谨。</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不合格项目带来的危害：令消费者缺乏正确使用该产品的依据，可能会发生严重性灾害，危及人身安全。</w:t>
      </w:r>
    </w:p>
    <w:p>
      <w:pPr>
        <w:pStyle w:val="2"/>
        <w:ind w:firstLine="576"/>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3、电动自行车</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3.1整车质量</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不合格的原因：标准要求装配完整的电动自行车的整车质量应≤55kg。该产品不符合标准要求的范围。</w:t>
      </w:r>
    </w:p>
    <w:p>
      <w:pPr>
        <w:pStyle w:val="10"/>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不合格项目带来的危害：整车质量与制动距离成正比，整车质量越大，制动距离越长。整车质量超重，容易出现“刹不住”的现象。</w:t>
      </w:r>
    </w:p>
    <w:p>
      <w:pPr>
        <w:pStyle w:val="2"/>
        <w:ind w:firstLine="576"/>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3.2防碰擦</w:t>
      </w:r>
    </w:p>
    <w:p>
      <w:pPr>
        <w:pStyle w:val="2"/>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不合格的原因：产品设计或生产工艺问题，使得电动自行车的不动件与运动件相碰擦。</w:t>
      </w:r>
    </w:p>
    <w:p>
      <w:pPr>
        <w:pStyle w:val="2"/>
        <w:keepNext w:val="0"/>
        <w:keepLines w:val="0"/>
        <w:pageBreakBefore w:val="0"/>
        <w:widowControl w:val="0"/>
        <w:numPr>
          <w:ilvl w:val="0"/>
          <w:numId w:val="0"/>
        </w:numPr>
        <w:kinsoku/>
        <w:wordWrap/>
        <w:overflowPunct/>
        <w:topLinePunct w:val="0"/>
        <w:autoSpaceDE w:val="0"/>
        <w:autoSpaceDN w:val="0"/>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不合格项目带来的危害：运动件与不动件发生碰擦，会影响运动部件的正常运转，也会造成摩擦部位受损，造成车辆损伤，降低使用寿命。</w:t>
      </w:r>
    </w:p>
    <w:p>
      <w:pPr>
        <w:pStyle w:val="2"/>
        <w:ind w:firstLine="576"/>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3.3蓄电池的最大输出电压</w:t>
      </w:r>
    </w:p>
    <w:p>
      <w:pPr>
        <w:pStyle w:val="2"/>
        <w:ind w:firstLine="576"/>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电动车电池也是改装中最常被严查的项目之一，由于按照新国标规定最高蓄电池电压不超过48V，但是不少追求长续航、高动力的车主来说，为了满足客户需求，厂家给后期电动车改装开了一个后门。</w:t>
      </w:r>
    </w:p>
    <w:p>
      <w:pPr>
        <w:pStyle w:val="2"/>
        <w:ind w:firstLine="576"/>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不合格项目带来的危害：车辆电气装置私自篡改后，整车的电气性能就不会再有保障，很容易发生自燃等事故，存在巨大的安全隐患。</w:t>
      </w:r>
    </w:p>
    <w:p>
      <w:pPr>
        <w:pStyle w:val="2"/>
        <w:ind w:firstLine="576"/>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3.4蓄电池防篡改</w:t>
      </w:r>
    </w:p>
    <w:p>
      <w:pPr>
        <w:pStyle w:val="2"/>
        <w:ind w:firstLine="576"/>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不合格的原因：电池与电池盒安装位置无法合理匹配。</w:t>
      </w:r>
    </w:p>
    <w:p>
      <w:pPr>
        <w:pStyle w:val="2"/>
        <w:ind w:firstLine="576"/>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蓄电池防篡改主要是针对电动自行车在销售后，防止使用者进行非法改装，从而改变车辆本身安全设计的线路，避免由此带来的安全隐患，例如改变电池容量后，会造成与充电器无法合理匹配，在充电过程中可能发生电池漏液、起烟，甚至爆炸等严重安全隐患。</w:t>
      </w:r>
    </w:p>
    <w:p>
      <w:pPr>
        <w:pStyle w:val="2"/>
        <w:ind w:firstLine="576"/>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4、电动自行车充电器</w:t>
      </w:r>
    </w:p>
    <w:p>
      <w:pPr>
        <w:pStyle w:val="2"/>
        <w:ind w:firstLine="576"/>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4.1电源连接和外部软线</w:t>
      </w:r>
    </w:p>
    <w:p>
      <w:pPr>
        <w:pStyle w:val="2"/>
        <w:ind w:firstLine="576"/>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不合格的原因：标准要求：当额定电流值＞3A且≤6A时，电源软线的导线应具有不小于0.75mm</w:t>
      </w:r>
      <w:r>
        <w:rPr>
          <w:rFonts w:hint="eastAsia" w:ascii="仿宋_GB2312" w:hAnsi="仿宋_GB2312" w:eastAsia="仿宋_GB2312" w:cs="仿宋_GB2312"/>
          <w:color w:val="auto"/>
          <w:kern w:val="0"/>
          <w:sz w:val="32"/>
          <w:szCs w:val="32"/>
          <w:vertAlign w:val="superscript"/>
          <w:lang w:val="en-US" w:eastAsia="zh-CN" w:bidi="ar-SA"/>
        </w:rPr>
        <w:t>²</w:t>
      </w:r>
      <w:r>
        <w:rPr>
          <w:rFonts w:hint="eastAsia" w:ascii="仿宋_GB2312" w:hAnsi="仿宋_GB2312" w:eastAsia="仿宋_GB2312" w:cs="仿宋_GB2312"/>
          <w:color w:val="auto"/>
          <w:kern w:val="0"/>
          <w:sz w:val="32"/>
          <w:szCs w:val="32"/>
          <w:lang w:val="en-US" w:eastAsia="zh-CN" w:bidi="ar-SA"/>
        </w:rPr>
        <w:t>的标称横截面积，企业对标准要求不明确，未严格按照标准要求生产。</w:t>
      </w:r>
    </w:p>
    <w:p>
      <w:pPr>
        <w:pStyle w:val="2"/>
        <w:ind w:firstLine="576"/>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不合格项目带来的危害：该项目不合格容易导致充电时超负荷、短路，以致引起火灾事故。</w:t>
      </w:r>
    </w:p>
    <w:p>
      <w:pPr>
        <w:pStyle w:val="2"/>
        <w:ind w:firstLine="576"/>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5、口罩</w:t>
      </w:r>
    </w:p>
    <w:p>
      <w:pPr>
        <w:pStyle w:val="2"/>
        <w:ind w:firstLine="576"/>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5.1过滤效率</w:t>
      </w:r>
    </w:p>
    <w:p>
      <w:pPr>
        <w:pStyle w:val="2"/>
        <w:ind w:firstLine="576"/>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不合格的原因：</w:t>
      </w:r>
      <w:r>
        <w:rPr>
          <w:rFonts w:hint="eastAsia" w:ascii="仿宋_GB2312" w:hAnsi="仿宋_GB2312" w:eastAsia="仿宋_GB2312" w:cs="仿宋_GB2312"/>
          <w:i w:val="0"/>
          <w:iCs w:val="0"/>
          <w:caps w:val="0"/>
          <w:color w:val="auto"/>
          <w:spacing w:val="0"/>
          <w:sz w:val="32"/>
          <w:szCs w:val="32"/>
          <w:shd w:val="clear" w:color="auto" w:fill="FFFFFF"/>
        </w:rPr>
        <w:t>主要由口罩中的滤层不达标导致</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2"/>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不合格项目带来的危害：</w:t>
      </w:r>
      <w:r>
        <w:rPr>
          <w:rFonts w:hint="eastAsia" w:ascii="仿宋_GB2312" w:hAnsi="仿宋_GB2312" w:eastAsia="仿宋_GB2312" w:cs="仿宋_GB2312"/>
          <w:color w:val="auto"/>
          <w:sz w:val="32"/>
          <w:szCs w:val="32"/>
          <w:lang w:val="en-US" w:eastAsia="zh-CN"/>
        </w:rPr>
        <w:t>可能导致口罩不能有效过滤空气中的悬浮颗粒物(如细菌、病毒、粉尘等)，极大地增加了使用者患病或传染的风险。</w:t>
      </w:r>
    </w:p>
    <w:p>
      <w:pPr>
        <w:pStyle w:val="2"/>
        <w:ind w:firstLine="576"/>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6、手提式干粉灭火器</w:t>
      </w:r>
    </w:p>
    <w:p>
      <w:pPr>
        <w:pStyle w:val="2"/>
        <w:ind w:firstLine="576"/>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6.1灭火剂主要组分含量（磷酸二氢铵）</w:t>
      </w:r>
    </w:p>
    <w:p>
      <w:pPr>
        <w:pStyle w:val="2"/>
        <w:ind w:firstLine="576"/>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不合格的原因：</w:t>
      </w:r>
      <w:r>
        <w:rPr>
          <w:rFonts w:hint="eastAsia" w:ascii="仿宋_GB2312" w:hAnsi="仿宋_GB2312" w:eastAsia="仿宋_GB2312" w:cs="仿宋_GB2312"/>
          <w:i w:val="0"/>
          <w:iCs w:val="0"/>
          <w:caps w:val="0"/>
          <w:color w:val="222222"/>
          <w:spacing w:val="0"/>
          <w:sz w:val="32"/>
          <w:szCs w:val="32"/>
          <w:shd w:val="clear" w:color="auto" w:fill="FFFFFF"/>
        </w:rPr>
        <w:t>一是部分生产企业使用假冒伪劣灭火剂或在灭火剂中添加了其他材料，二是部分销售企业将使用过的灭火器充装不符合要求的灭火剂维修后充当新灭火器出售。</w:t>
      </w:r>
    </w:p>
    <w:p>
      <w:pPr>
        <w:pStyle w:val="2"/>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不合格项目带来的危害：</w:t>
      </w:r>
      <w:r>
        <w:rPr>
          <w:rFonts w:hint="eastAsia" w:ascii="仿宋_GB2312" w:hAnsi="仿宋_GB2312" w:eastAsia="仿宋_GB2312" w:cs="仿宋_GB2312"/>
          <w:i w:val="0"/>
          <w:color w:val="auto"/>
          <w:kern w:val="0"/>
          <w:sz w:val="32"/>
          <w:szCs w:val="32"/>
          <w:u w:val="none"/>
          <w:lang w:val="en-US" w:eastAsia="zh-CN" w:bidi="ar"/>
        </w:rPr>
        <w:t>该项指标是考核灭火剂磷酸二氢铵含量是否满足标准要求，属于灭火器性能重要指标。磷酸二氢铵含量偏低或者偏高，直接影响灭火器灭火能效。</w:t>
      </w:r>
    </w:p>
    <w:p>
      <w:pPr>
        <w:pStyle w:val="2"/>
        <w:ind w:firstLine="576"/>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7、消防水带</w:t>
      </w:r>
    </w:p>
    <w:p>
      <w:pPr>
        <w:pStyle w:val="2"/>
        <w:ind w:firstLine="576"/>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7.1附着强度</w:t>
      </w:r>
    </w:p>
    <w:p>
      <w:pPr>
        <w:pStyle w:val="5"/>
        <w:keepNext w:val="0"/>
        <w:keepLines w:val="0"/>
        <w:pageBreakBefore w:val="0"/>
        <w:widowControl w:val="0"/>
        <w:kinsoku/>
        <w:wordWrap/>
        <w:overflowPunct/>
        <w:topLinePunct w:val="0"/>
        <w:autoSpaceDE w:val="0"/>
        <w:autoSpaceDN w:val="0"/>
        <w:bidi w:val="0"/>
        <w:adjustRightInd/>
        <w:snapToGrid/>
        <w:spacing w:line="360" w:lineRule="auto"/>
        <w:ind w:right="269"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不合格的原因：附着强度过低说明衬里和编织层易分脱，导致承受水压能力降低。水带衬里的附着强度较差或者生产过程中胶料出现问题，产生混炼胶海绵现象也会导致附着强度不合格。</w:t>
      </w:r>
    </w:p>
    <w:p>
      <w:pPr>
        <w:pStyle w:val="2"/>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不合格项目带来的危害：</w:t>
      </w:r>
      <w:r>
        <w:rPr>
          <w:rFonts w:hint="eastAsia" w:ascii="仿宋" w:hAnsi="仿宋" w:eastAsia="仿宋" w:cs="仿宋"/>
          <w:color w:val="111111"/>
          <w:spacing w:val="-3"/>
          <w:sz w:val="32"/>
          <w:szCs w:val="32"/>
          <w:highlight w:val="none"/>
          <w:lang w:val="en-US" w:eastAsia="zh-CN"/>
        </w:rPr>
        <w:t>附着强度不合格会造成消防水带漏水和耐压强度降低，由于产品质量因素很有可能导致扑救工作不能有效和正常开展，延误扑救火灾的最佳时期。</w:t>
      </w:r>
    </w:p>
    <w:p>
      <w:pPr>
        <w:keepNext w:val="0"/>
        <w:keepLines w:val="0"/>
        <w:pageBreakBefore w:val="0"/>
        <w:numPr>
          <w:ilvl w:val="0"/>
          <w:numId w:val="1"/>
        </w:numPr>
        <w:kinsoku/>
        <w:wordWrap/>
        <w:overflowPunct/>
        <w:topLinePunct w:val="0"/>
        <w:bidi w:val="0"/>
        <w:spacing w:line="594" w:lineRule="exact"/>
        <w:jc w:val="both"/>
        <w:outlineLvl w:val="0"/>
        <w:rPr>
          <w:rFonts w:hint="eastAsia" w:ascii="黑体" w:hAnsi="宋体" w:eastAsia="黑体" w:cs="宋体"/>
          <w:color w:val="231F20"/>
          <w:sz w:val="32"/>
          <w:szCs w:val="32"/>
        </w:rPr>
      </w:pPr>
      <w:bookmarkStart w:id="5" w:name="_Toc8073"/>
      <w:r>
        <w:rPr>
          <w:rFonts w:hint="eastAsia" w:ascii="黑体" w:hAnsi="宋体" w:eastAsia="黑体"/>
          <w:sz w:val="32"/>
          <w:szCs w:val="32"/>
          <w:lang w:eastAsia="zh-CN"/>
        </w:rPr>
        <w:t>消费提示</w:t>
      </w:r>
      <w:bookmarkEnd w:id="5"/>
    </w:p>
    <w:p>
      <w:pPr>
        <w:keepNext w:val="0"/>
        <w:keepLines w:val="0"/>
        <w:pageBreakBefore w:val="0"/>
        <w:numPr>
          <w:ilvl w:val="0"/>
          <w:numId w:val="2"/>
        </w:numPr>
        <w:kinsoku/>
        <w:wordWrap/>
        <w:overflowPunct/>
        <w:topLinePunct w:val="0"/>
        <w:bidi w:val="0"/>
        <w:snapToGrid/>
        <w:spacing w:line="594" w:lineRule="exact"/>
        <w:jc w:val="both"/>
        <w:rPr>
          <w:rFonts w:hint="default"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烟花爆竹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1、购买时的注意事项：看销售主体，消费者应到持有烟花爆竹销售许可证的专营店去购买；看标志，应有正规的厂名、厂址、燃放说明、警示语、合格证等；看外观，应整洁、无霉变、无破损、无变形，无漏药等现象；看引火线，点火引火线应为绿色安全引线，不应松动、断损，消费者应注意不要购买如“钢丝棉”等非烟花爆竹的产品。</w:t>
      </w:r>
    </w:p>
    <w:p>
      <w:pPr>
        <w:keepNext w:val="0"/>
        <w:keepLines w:val="0"/>
        <w:pageBreakBefore w:val="0"/>
        <w:kinsoku/>
        <w:wordWrap/>
        <w:overflowPunct/>
        <w:topLinePunct w:val="0"/>
        <w:bidi w:val="0"/>
        <w:snapToGrid/>
        <w:spacing w:line="594"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lang w:val="en-US" w:eastAsia="zh-CN" w:bidi="ar-SA"/>
        </w:rPr>
        <w:t>2、使用时的注意事项：燃放前仔细阅读产品包装上的燃放说明和警示语内容。；所有的烟花爆竹都应该在室外燃放，严格按照产品上的说明选择符合要求的燃放场地。同时关注禁放区，如：文物保护单位、易燃易爆物品储存区、输变电设施安全区、幼儿园、中小学校等禁止燃放。另外要注意的燃放烟花爆竹一定要远离城市雨水井盖、污水井盖和其他排水设施，以免引燃、引爆排水管道中残留的易燃易爆气体，造成人身伤害和财产损失。燃放烟花爆竹时要保持清醒的头脑，酒后不要燃放烟花爆竹，未成年人应在家长的监护下谨慎燃放烟花爆竹。点燃引火线后，应迅速撤离到安全位置；出现烟花爆竹断火时，不得靠近产品，建议15分钟后进行处理。</w:t>
      </w:r>
    </w:p>
    <w:p>
      <w:pPr>
        <w:keepNext w:val="0"/>
        <w:keepLines w:val="0"/>
        <w:pageBreakBefore w:val="0"/>
        <w:numPr>
          <w:ilvl w:val="0"/>
          <w:numId w:val="2"/>
        </w:numPr>
        <w:kinsoku/>
        <w:wordWrap/>
        <w:overflowPunct/>
        <w:topLinePunct w:val="0"/>
        <w:bidi w:val="0"/>
        <w:snapToGrid/>
        <w:spacing w:line="594" w:lineRule="exact"/>
        <w:jc w:val="both"/>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燃气用具相关</w:t>
      </w:r>
    </w:p>
    <w:p>
      <w:pPr>
        <w:pStyle w:val="4"/>
        <w:numPr>
          <w:ilvl w:val="0"/>
          <w:numId w:val="0"/>
        </w:numPr>
        <w:ind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1、购买家用燃气燃烧器具时，要查看商家是否证照齐全，尽量选择在大型商场、专卖店等正规场所进行购买；要查看产品是否标识齐全，切忌贪图便宜购买低价劣质产品甚至“三无”产品；保留好购物凭证，方便售后维护及消费维权。</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2、家用燃气灶产品必须安装熄火保护装置，比点火针粗，直径大约2－4毫米，该装置一般安装在靠近火盖侧，最简单的方法就是观察炉头位置是否有两根探头。</w:t>
      </w:r>
    </w:p>
    <w:p>
      <w:pPr>
        <w:pStyle w:val="4"/>
        <w:ind w:left="0" w:leftChars="0"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3、生产日期为2020年10月1日前的家用燃气器具，应当标注QS标识或者生产许可证号；生产日期为2020年10月1日后的家用燃气器具，应当标注CCC强制性认证标志。同时可通过CCC强制性认证标志查询网址：http://cx.cnca.cn/CertECloud/index/index/page进行查询。2022年1月1日后，禁止销售无CCC认证标志的家用燃气灶具(2020年10月1日后生产的)。</w:t>
      </w:r>
    </w:p>
    <w:p>
      <w:pPr>
        <w:keepNext w:val="0"/>
        <w:keepLines w:val="0"/>
        <w:pageBreakBefore w:val="0"/>
        <w:numPr>
          <w:ilvl w:val="0"/>
          <w:numId w:val="2"/>
        </w:numPr>
        <w:kinsoku/>
        <w:wordWrap/>
        <w:overflowPunct/>
        <w:topLinePunct w:val="0"/>
        <w:bidi w:val="0"/>
        <w:snapToGrid/>
        <w:spacing w:line="594" w:lineRule="exact"/>
        <w:jc w:val="both"/>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消防产品</w:t>
      </w:r>
    </w:p>
    <w:p>
      <w:pPr>
        <w:pStyle w:val="4"/>
        <w:ind w:left="0" w:leftChars="0"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1、认准标志。消防水带、洒水喷头等产品属于国家强制性认证产品，购买此类产品时，必须检查清楚产品上面的3C标志方可购买；灭火器、消防水枪、消防应急灯具等产品，虽然不在强制性产品名单内，但均属于消防型式认可产品，获认可的产品都具备消防产品身份信息标志，一般贴于产品表面，消费者购买时应注意检查该消防产品身份信息标志，有条件者可登录在公安部消防产品信息网，直接输入身份信息标志下方的14位明码，将可获取产品的生产信息及流向情况。消费者在购买时如发现消防水带、洒水喷头等产品无3C认证标志，灭火器、消防水枪、消防应急灯具等产品无消防产品身份信息标志或身份信息不符时，可直接向工商局或消防局进行举报。</w:t>
      </w:r>
    </w:p>
    <w:p>
      <w:pPr>
        <w:pStyle w:val="4"/>
        <w:ind w:left="0" w:leftChars="0"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2、眼看手动。购买灭火器时，可以看灭火器上的压力指示器是否指示在绿色区域，如不在该区域则表明灭火器内部气压不足或气压过高；购买水带时，可用手掂量其重量，观察多几家产品的材料厚度，若发现其中某产品重量偏轻，材料偏薄的，则该产品可能偷工减料的情况，应免予选用；购买消防水枪时，应检查枪体接口是否有砂眼、裂纹等问题，旋开枪体与接口，观察其中的橡胶密封垫的弹性与表面质量，确认质量无问题时才选购使用。</w:t>
      </w:r>
    </w:p>
    <w:p>
      <w:pPr>
        <w:keepNext w:val="0"/>
        <w:keepLines w:val="0"/>
        <w:pageBreakBefore w:val="0"/>
        <w:numPr>
          <w:ilvl w:val="0"/>
          <w:numId w:val="2"/>
        </w:numPr>
        <w:kinsoku/>
        <w:wordWrap/>
        <w:overflowPunct/>
        <w:topLinePunct w:val="0"/>
        <w:bidi w:val="0"/>
        <w:snapToGrid/>
        <w:spacing w:line="594" w:lineRule="exact"/>
        <w:jc w:val="both"/>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防护用品</w:t>
      </w:r>
    </w:p>
    <w:p>
      <w:pPr>
        <w:pStyle w:val="4"/>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lang w:val="en-US" w:eastAsia="zh-CN" w:bidi="ar-SA"/>
        </w:rPr>
        <w:t xml:space="preserve">1、符合国家标准：个体防护用品是为了保护工作人员的安全和健康，必须符合国家标准。用人单位在选用、购置时应选择符合国家标准的产品，以确保产品具有合格的质量和性能。   </w:t>
      </w:r>
    </w:p>
    <w:p>
      <w:pPr>
        <w:pStyle w:val="4"/>
        <w:numPr>
          <w:ilvl w:val="0"/>
          <w:numId w:val="0"/>
        </w:numPr>
        <w:ind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2、合理选型：不同岗位、不同作业环境需要使用不同的个体防护用品，用人单位应根据工作场所的实际情况，对不同岗位、不同作业环境的工作人员进行分类确定工作内容和危害因素，从而合理选取适合的个体防护用品。</w:t>
      </w:r>
    </w:p>
    <w:p>
      <w:pPr>
        <w:ind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3、定期检查：用人单位应该建立个体防护用品的定期检查和维护机制，确保设备的完好性和功能性，避免出现问题导致事故发生。</w:t>
      </w:r>
    </w:p>
    <w:p>
      <w:pPr>
        <w:pStyle w:val="4"/>
        <w:ind w:left="0" w:leftChars="0"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4、合理存储：个体防护用品应该被妥善地存放在干燥、清洁、通风的环境中，避免阳光直射、潮湿及高温等不适宜的环境，以延长其使用寿命。</w:t>
      </w:r>
    </w:p>
    <w:p>
      <w:pPr>
        <w:keepNext w:val="0"/>
        <w:keepLines w:val="0"/>
        <w:pageBreakBefore w:val="0"/>
        <w:numPr>
          <w:ilvl w:val="0"/>
          <w:numId w:val="2"/>
        </w:numPr>
        <w:kinsoku/>
        <w:wordWrap/>
        <w:overflowPunct/>
        <w:topLinePunct w:val="0"/>
        <w:bidi w:val="0"/>
        <w:snapToGrid/>
        <w:spacing w:line="594" w:lineRule="exact"/>
        <w:jc w:val="both"/>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电动车及其配件</w:t>
      </w:r>
    </w:p>
    <w:p>
      <w:pPr>
        <w:pStyle w:val="4"/>
        <w:numPr>
          <w:ilvl w:val="0"/>
          <w:numId w:val="0"/>
        </w:numPr>
        <w:ind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1、选购正规厂家生产的电动自行车，查看产品信息是否齐全，包括生产企业名称、地址、产品型号、合格证、CCC标识等，不要购买三无产品。</w:t>
      </w:r>
    </w:p>
    <w:p>
      <w:pPr>
        <w:pStyle w:val="4"/>
        <w:numPr>
          <w:ilvl w:val="0"/>
          <w:numId w:val="0"/>
        </w:numPr>
        <w:ind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2、购买时向经营者索要发票或其他购买凭证，并保存好随车的合格证、车辆一致性证书等相关材料，作为日后维护自身权益的重要凭证。</w:t>
      </w:r>
    </w:p>
    <w:p>
      <w:pPr>
        <w:pStyle w:val="4"/>
        <w:numPr>
          <w:ilvl w:val="0"/>
          <w:numId w:val="0"/>
        </w:numPr>
        <w:ind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3、不要购买各类经过改装、拼装的电动自行车，对已购买的电动自行车产品不私自进行改装。</w:t>
      </w:r>
    </w:p>
    <w:p>
      <w:pPr>
        <w:keepNext w:val="0"/>
        <w:keepLines w:val="0"/>
        <w:pageBreakBefore w:val="0"/>
        <w:numPr>
          <w:ilvl w:val="0"/>
          <w:numId w:val="2"/>
        </w:numPr>
        <w:kinsoku/>
        <w:wordWrap/>
        <w:overflowPunct/>
        <w:topLinePunct w:val="0"/>
        <w:bidi w:val="0"/>
        <w:snapToGrid/>
        <w:spacing w:line="594" w:lineRule="exact"/>
        <w:jc w:val="both"/>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插头插座</w:t>
      </w:r>
    </w:p>
    <w:p>
      <w:pPr>
        <w:pStyle w:val="4"/>
        <w:numPr>
          <w:ilvl w:val="0"/>
          <w:numId w:val="0"/>
        </w:numPr>
        <w:ind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1、从手触摸的感觉看。好质量的插头插座在我们用手拔电源时会很容易拔掉，而质量不好的插头插座产品在拔电源时我们拔起来会很费劲，用力大还可能会发生断裂。且质量好的插座插孔处有保护门，只有同时把电源插座按在里面才能插入。</w:t>
      </w:r>
    </w:p>
    <w:p>
      <w:pPr>
        <w:pStyle w:val="4"/>
        <w:numPr>
          <w:ilvl w:val="0"/>
          <w:numId w:val="0"/>
        </w:numPr>
        <w:ind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2、从外观上看。从开关插座的外表上看，好的插座它表面光滑，且一般都选用的质量高的PC材料，手感度很好。而劣质的开关插座摸上去粗糙，不能够很好的阻断火源。</w:t>
      </w:r>
    </w:p>
    <w:p>
      <w:pPr>
        <w:pStyle w:val="4"/>
        <w:numPr>
          <w:ilvl w:val="0"/>
          <w:numId w:val="0"/>
        </w:numPr>
        <w:ind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3、从分量上看。我们再去商场买插头插座时可以用手掂一掂他们各自的分量，毕竟好质量的插头插座用的铜材料，分量上会重一些。而其他材料制作的会稍轻。</w:t>
      </w:r>
    </w:p>
    <w:p>
      <w:pPr>
        <w:keepNext w:val="0"/>
        <w:keepLines w:val="0"/>
        <w:pageBreakBefore w:val="0"/>
        <w:numPr>
          <w:ilvl w:val="0"/>
          <w:numId w:val="2"/>
        </w:numPr>
        <w:kinsoku/>
        <w:wordWrap/>
        <w:overflowPunct/>
        <w:topLinePunct w:val="0"/>
        <w:bidi w:val="0"/>
        <w:snapToGrid/>
        <w:spacing w:line="594" w:lineRule="exact"/>
        <w:jc w:val="both"/>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汽车风窗玻璃清洗液</w:t>
      </w:r>
    </w:p>
    <w:p>
      <w:pPr>
        <w:pStyle w:val="4"/>
        <w:numPr>
          <w:ilvl w:val="0"/>
          <w:numId w:val="0"/>
        </w:numPr>
        <w:ind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1、过正规渠道购买产品，并仔细检查产品标识及信息是否齐全，包括生产厂家厂名、厂址、联系方式、产品的名称、规格型号及使用说明等。</w:t>
      </w:r>
    </w:p>
    <w:p>
      <w:pPr>
        <w:pStyle w:val="4"/>
        <w:numPr>
          <w:ilvl w:val="0"/>
          <w:numId w:val="0"/>
        </w:numPr>
        <w:ind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2、根据所在地区的实际温度合理选择适当冰点的汽车风窗玻璃清洗液。水基型清洗液按冰点分为普通型（冰点≤0℃）和低温型（冰点一般≤-20℃）两种，而疏水型清洗液的冰点一般≤-20℃。清洗液冰点通常标注在产品瓶体或使用说明书上。</w:t>
      </w:r>
    </w:p>
    <w:p>
      <w:pPr>
        <w:pStyle w:val="4"/>
        <w:numPr>
          <w:ilvl w:val="0"/>
          <w:numId w:val="0"/>
        </w:numPr>
        <w:ind w:firstLine="640" w:firstLineChars="20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3、现场选择汽车风窗玻璃清洗液时要看其有无杂质和是否变质。较为便捷的方法就是将瓶体倒置，看里面有无沉淀物或杂质，优质的水基型清洗液应该是晶莹透明的。</w:t>
      </w:r>
    </w:p>
    <w:p>
      <w:pPr>
        <w:keepNext w:val="0"/>
        <w:keepLines w:val="0"/>
        <w:pageBreakBefore w:val="0"/>
        <w:numPr>
          <w:ilvl w:val="0"/>
          <w:numId w:val="1"/>
        </w:numPr>
        <w:kinsoku/>
        <w:wordWrap/>
        <w:overflowPunct/>
        <w:topLinePunct w:val="0"/>
        <w:bidi w:val="0"/>
        <w:spacing w:line="594" w:lineRule="exact"/>
        <w:jc w:val="both"/>
        <w:outlineLvl w:val="0"/>
        <w:rPr>
          <w:rFonts w:hint="eastAsia" w:ascii="黑体" w:hAnsi="宋体" w:eastAsia="黑体"/>
          <w:sz w:val="32"/>
          <w:szCs w:val="32"/>
          <w:lang w:eastAsia="zh-CN"/>
        </w:rPr>
      </w:pPr>
      <w:bookmarkStart w:id="6" w:name="_Toc4417"/>
      <w:r>
        <w:rPr>
          <w:rFonts w:hint="eastAsia" w:ascii="黑体" w:hAnsi="宋体" w:eastAsia="黑体"/>
          <w:sz w:val="32"/>
          <w:szCs w:val="32"/>
          <w:lang w:eastAsia="zh-CN"/>
        </w:rPr>
        <w:t>建议和措施</w:t>
      </w:r>
      <w:bookmarkEnd w:id="6"/>
    </w:p>
    <w:p>
      <w:pPr>
        <w:pStyle w:val="9"/>
        <w:keepNext w:val="0"/>
        <w:keepLines w:val="0"/>
        <w:pageBreakBefore w:val="0"/>
        <w:widowControl w:val="0"/>
        <w:kinsoku/>
        <w:wordWrap/>
        <w:overflowPunct/>
        <w:topLinePunct w:val="0"/>
        <w:bidi w:val="0"/>
        <w:snapToGrid/>
        <w:spacing w:line="594"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（一）加大对燃气具产品生产企业的质量相关法律法规的宣传力度，提高企业质量意识。使生产企业从质量管理上加以重视，同时增加企业对产品质量法等政策法规的认识和了解，帮助企业树立良好的质量观念。</w:t>
      </w:r>
    </w:p>
    <w:p>
      <w:pPr>
        <w:pStyle w:val="9"/>
        <w:keepNext w:val="0"/>
        <w:keepLines w:val="0"/>
        <w:pageBreakBefore w:val="0"/>
        <w:widowControl w:val="0"/>
        <w:kinsoku/>
        <w:wordWrap/>
        <w:overflowPunct/>
        <w:topLinePunct w:val="0"/>
        <w:bidi w:val="0"/>
        <w:snapToGrid/>
        <w:spacing w:line="594"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（二）建议各地市场监督管理局和产品认证管理部门加强对企业注册地址与实际地址相符性的检查。让存在质量问题的产品可以及时并</w:t>
      </w:r>
      <w:r>
        <w:rPr>
          <w:rFonts w:hint="eastAsia" w:ascii="仿宋_GB2312" w:hAnsi="仿宋_GB2312" w:eastAsia="仿宋_GB2312" w:cs="仿宋_GB2312"/>
          <w:sz w:val="32"/>
          <w:szCs w:val="32"/>
          <w:lang w:eastAsia="zh-CN"/>
        </w:rPr>
        <w:t>准确地被追</w:t>
      </w:r>
      <w:r>
        <w:rPr>
          <w:rFonts w:hint="eastAsia" w:ascii="仿宋_GB2312" w:hAnsi="仿宋_GB2312" w:eastAsia="仿宋_GB2312" w:cs="仿宋_GB2312"/>
          <w:sz w:val="32"/>
          <w:szCs w:val="32"/>
        </w:rPr>
        <w:t>溯到，以此来保护消费者的合法权益。</w:t>
      </w:r>
    </w:p>
    <w:p>
      <w:pPr>
        <w:pStyle w:val="9"/>
        <w:keepNext w:val="0"/>
        <w:keepLines w:val="0"/>
        <w:pageBreakBefore w:val="0"/>
        <w:widowControl w:val="0"/>
        <w:kinsoku/>
        <w:wordWrap/>
        <w:overflowPunct/>
        <w:topLinePunct w:val="0"/>
        <w:bidi w:val="0"/>
        <w:snapToGrid/>
        <w:spacing w:line="594" w:lineRule="exact"/>
        <w:ind w:left="0" w:leftChars="0" w:firstLine="0" w:firstLineChars="0"/>
        <w:rPr>
          <w:rFonts w:hint="eastAsia" w:ascii="仿宋_GB2312" w:hAnsi="仿宋_GB2312" w:eastAsia="仿宋_GB2312" w:cs="仿宋_GB2312"/>
          <w:sz w:val="32"/>
          <w:szCs w:val="32"/>
        </w:rPr>
      </w:pPr>
    </w:p>
    <w:p/>
    <w:p>
      <w:pPr>
        <w:pStyle w:val="2"/>
        <w:spacing w:line="360" w:lineRule="auto"/>
        <w:ind w:left="0" w:leftChars="0" w:firstLine="0" w:firstLineChars="0"/>
        <w:jc w:val="both"/>
        <w:rPr>
          <w:rFonts w:hint="eastAsia" w:ascii="仿宋_GB2312" w:hAnsi="仿宋_GB2312" w:eastAsia="仿宋_GB2312" w:cs="仿宋_GB2312"/>
          <w:color w:val="000000"/>
          <w:kern w:val="0"/>
          <w:sz w:val="32"/>
          <w:szCs w:val="32"/>
          <w:lang w:val="en-US" w:eastAsia="zh-CN" w:bidi="ar-SA"/>
        </w:rPr>
      </w:pPr>
    </w:p>
    <w:p>
      <w:pPr>
        <w:pStyle w:val="2"/>
        <w:spacing w:line="360" w:lineRule="auto"/>
        <w:ind w:firstLine="3840" w:firstLineChars="1200"/>
        <w:jc w:val="right"/>
        <w:rPr>
          <w:rFonts w:hint="eastAsia" w:ascii="仿宋_GB2312" w:hAnsi="仿宋_GB2312" w:eastAsia="仿宋_GB2312" w:cs="仿宋_GB2312"/>
          <w:color w:val="000000"/>
          <w:kern w:val="0"/>
          <w:sz w:val="32"/>
          <w:szCs w:val="32"/>
          <w:lang w:val="en-US" w:eastAsia="zh-CN" w:bidi="ar-SA"/>
        </w:rPr>
        <w:sectPr>
          <w:headerReference r:id="rId3" w:type="first"/>
          <w:footerReference r:id="rId5" w:type="first"/>
          <w:footerReference r:id="rId4" w:type="default"/>
          <w:pgSz w:w="11906" w:h="16838"/>
          <w:pgMar w:top="1134" w:right="1701" w:bottom="1134" w:left="1701" w:header="567" w:footer="850" w:gutter="0"/>
          <w:pgNumType w:fmt="decimal" w:start="1"/>
          <w:cols w:space="720" w:num="1"/>
          <w:titlePg/>
          <w:rtlGutter w:val="0"/>
          <w:docGrid w:type="lines" w:linePitch="314" w:charSpace="0"/>
        </w:sectPr>
      </w:pPr>
      <w:r>
        <w:rPr>
          <w:rFonts w:hint="eastAsia" w:ascii="仿宋_GB2312" w:hAnsi="仿宋_GB2312" w:eastAsia="仿宋_GB2312" w:cs="仿宋_GB2312"/>
          <w:color w:val="000000"/>
          <w:kern w:val="0"/>
          <w:sz w:val="32"/>
          <w:szCs w:val="32"/>
          <w:lang w:val="en-US" w:eastAsia="zh-CN" w:bidi="ar-SA"/>
        </w:rPr>
        <w:t xml:space="preserve"> 淮北市市场监督管理局                        2023年11月</w:t>
      </w: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252"/>
        <w:tab w:val="clear" w:pos="4153"/>
      </w:tabs>
      <w:jc w:val="both"/>
      <w:rPr>
        <w:rFonts w:ascii="Times New Roman" w:hAnsi="Times New Roman" w:cs="Times New Roman"/>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35863"/>
    <w:multiLevelType w:val="singleLevel"/>
    <w:tmpl w:val="87935863"/>
    <w:lvl w:ilvl="0" w:tentative="0">
      <w:start w:val="4"/>
      <w:numFmt w:val="chineseCounting"/>
      <w:suff w:val="nothing"/>
      <w:lvlText w:val="%1、"/>
      <w:lvlJc w:val="left"/>
      <w:rPr>
        <w:rFonts w:hint="eastAsia"/>
      </w:rPr>
    </w:lvl>
  </w:abstractNum>
  <w:abstractNum w:abstractNumId="1">
    <w:nsid w:val="FAF7A1F8"/>
    <w:multiLevelType w:val="singleLevel"/>
    <w:tmpl w:val="FAF7A1F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A3814"/>
    <w:rsid w:val="21217CFE"/>
    <w:rsid w:val="2ADA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3">
    <w:name w:val="heading 4"/>
    <w:basedOn w:val="1"/>
    <w:next w:val="1"/>
    <w:unhideWhenUsed/>
    <w:qFormat/>
    <w:uiPriority w:val="0"/>
    <w:pPr>
      <w:keepNext/>
      <w:keepLines/>
      <w:spacing w:beforeLines="0" w:beforeAutospacing="0" w:afterLines="0" w:afterAutospacing="0" w:line="372" w:lineRule="auto"/>
      <w:jc w:val="both"/>
      <w:outlineLvl w:val="3"/>
    </w:pPr>
    <w:rPr>
      <w:rFonts w:ascii="Arial" w:hAnsi="Arial" w:eastAsia="宋体" w:cs="宋体"/>
      <w:b/>
      <w:kern w:val="0"/>
      <w:sz w:val="28"/>
      <w:szCs w:val="22"/>
      <w:lang w:val="zh-CN" w:bidi="zh-CN"/>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34"/>
    <w:pPr>
      <w:autoSpaceDE/>
      <w:autoSpaceDN/>
      <w:adjustRightInd/>
      <w:ind w:firstLine="420" w:firstLineChars="200"/>
      <w:jc w:val="both"/>
    </w:pPr>
    <w:rPr>
      <w:rFonts w:ascii="Calibri" w:hAnsi="Calibri" w:cs="黑体"/>
      <w:kern w:val="2"/>
      <w:sz w:val="21"/>
      <w:szCs w:val="22"/>
    </w:rPr>
  </w:style>
  <w:style w:type="paragraph" w:styleId="4">
    <w:name w:val="table of authorities"/>
    <w:basedOn w:val="1"/>
    <w:next w:val="1"/>
    <w:unhideWhenUsed/>
    <w:qFormat/>
    <w:uiPriority w:val="99"/>
    <w:pPr>
      <w:ind w:left="420" w:leftChars="200"/>
    </w:pPr>
  </w:style>
  <w:style w:type="paragraph" w:styleId="5">
    <w:name w:val="Body Text"/>
    <w:basedOn w:val="1"/>
    <w:qFormat/>
    <w:uiPriority w:val="1"/>
    <w:rPr>
      <w:sz w:val="28"/>
      <w:szCs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line="360" w:lineRule="auto"/>
    </w:pPr>
    <w:rPr>
      <w:rFonts w:ascii="Calibri" w:hAnsi="Calibri" w:eastAsia="宋体"/>
      <w:sz w:val="24"/>
    </w:rPr>
  </w:style>
  <w:style w:type="paragraph" w:styleId="9">
    <w:name w:val="Body Text Indent 3"/>
    <w:basedOn w:val="1"/>
    <w:qFormat/>
    <w:uiPriority w:val="0"/>
    <w:pPr>
      <w:widowControl/>
      <w:snapToGrid w:val="0"/>
      <w:spacing w:line="500" w:lineRule="exact"/>
      <w:ind w:firstLine="560" w:firstLineChars="200"/>
      <w:jc w:val="both"/>
    </w:pPr>
    <w:rPr>
      <w:rFonts w:ascii="仿宋_GB2312" w:hAnsi="仿宋" w:eastAsia="仿宋_GB2312"/>
      <w:color w:val="000000"/>
      <w:sz w:val="28"/>
      <w:szCs w:val="28"/>
    </w:rPr>
  </w:style>
  <w:style w:type="paragraph" w:styleId="10">
    <w:name w:val="Normal (Web)"/>
    <w:basedOn w:val="1"/>
    <w:unhideWhenUsed/>
    <w:qFormat/>
    <w:uiPriority w:val="99"/>
    <w:rPr>
      <w:rFonts w:ascii="Calibri" w:hAnsi="Calibri" w:eastAsia="宋体" w:cs="宋体"/>
      <w:sz w:val="24"/>
    </w:rPr>
  </w:style>
  <w:style w:type="paragraph" w:styleId="13">
    <w:name w:val="List Paragraph"/>
    <w:basedOn w:val="1"/>
    <w:qFormat/>
    <w:uiPriority w:val="34"/>
    <w:pPr>
      <w:ind w:firstLine="420" w:firstLineChars="200"/>
    </w:pPr>
    <w:rPr>
      <w:rFonts w:cs="Times New Roman"/>
    </w:rPr>
  </w:style>
  <w:style w:type="character" w:customStyle="1" w:styleId="14">
    <w:name w:val="font1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8142;&#21271;105&#25209;&#2742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8142;&#21271;105&#25209;&#2742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8142;&#21271;105&#25209;&#2742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8142;&#21271;105&#25209;&#2742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8142;&#21271;105&#25209;&#274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[淮北105批次.xlsx]Sheet2!$D$7</c:f>
              <c:strCache>
                <c:ptCount val="1"/>
                <c:pt idx="0">
                  <c:v>生产领域</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[淮北105批次.xlsx]Sheet2!$E$6:$H$6</c:f>
              <c:strCache>
                <c:ptCount val="4"/>
                <c:pt idx="0">
                  <c:v>抽查企业数</c:v>
                </c:pt>
                <c:pt idx="1">
                  <c:v>抽查批次数</c:v>
                </c:pt>
                <c:pt idx="2">
                  <c:v>不合格批次数</c:v>
                </c:pt>
                <c:pt idx="3">
                  <c:v>不合格发现率%</c:v>
                </c:pt>
              </c:strCache>
            </c:strRef>
          </c:cat>
          <c:val>
            <c:numRef>
              <c:f>[淮北105批次.xlsx]Sheet2!$E$7:$H$7</c:f>
              <c:numCache>
                <c:formatCode>General</c:formatCode>
                <c:ptCount val="4"/>
                <c:pt idx="0">
                  <c:v>1</c:v>
                </c:pt>
                <c:pt idx="1">
                  <c:v>1</c:v>
                </c:pt>
                <c:pt idx="2">
                  <c:v>0</c:v>
                </c:pt>
                <c:pt idx="3">
                  <c:v>0</c:v>
                </c:pt>
              </c:numCache>
            </c:numRef>
          </c:val>
        </c:ser>
        <c:ser>
          <c:idx val="1"/>
          <c:order val="1"/>
          <c:tx>
            <c:strRef>
              <c:f>[淮北105批次.xlsx]Sheet2!$D$8</c:f>
              <c:strCache>
                <c:ptCount val="1"/>
                <c:pt idx="0">
                  <c:v>流通领域</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[淮北105批次.xlsx]Sheet2!$E$6:$H$6</c:f>
              <c:strCache>
                <c:ptCount val="4"/>
                <c:pt idx="0">
                  <c:v>抽查企业数</c:v>
                </c:pt>
                <c:pt idx="1">
                  <c:v>抽查批次数</c:v>
                </c:pt>
                <c:pt idx="2">
                  <c:v>不合格批次数</c:v>
                </c:pt>
                <c:pt idx="3">
                  <c:v>不合格发现率%</c:v>
                </c:pt>
              </c:strCache>
            </c:strRef>
          </c:cat>
          <c:val>
            <c:numRef>
              <c:f>[淮北105批次.xlsx]Sheet2!$E$8:$H$8</c:f>
              <c:numCache>
                <c:formatCode>General</c:formatCode>
                <c:ptCount val="4"/>
                <c:pt idx="0">
                  <c:v>54</c:v>
                </c:pt>
                <c:pt idx="1">
                  <c:v>104</c:v>
                </c:pt>
                <c:pt idx="2">
                  <c:v>14</c:v>
                </c:pt>
                <c:pt idx="3">
                  <c:v>13.46</c:v>
                </c:pt>
              </c:numCache>
            </c:numRef>
          </c:val>
        </c:ser>
        <c:dLbls>
          <c:showLegendKey val="0"/>
          <c:showVal val="1"/>
          <c:showCatName val="0"/>
          <c:showSerName val="0"/>
          <c:showPercent val="0"/>
          <c:showBubbleSize val="0"/>
        </c:dLbls>
        <c:gapWidth val="219"/>
        <c:overlap val="-27"/>
        <c:axId val="508771685"/>
        <c:axId val="570247521"/>
      </c:barChart>
      <c:catAx>
        <c:axId val="508771685"/>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70247521"/>
        <c:crosses val="autoZero"/>
        <c:auto val="1"/>
        <c:lblAlgn val="ctr"/>
        <c:lblOffset val="100"/>
        <c:noMultiLvlLbl val="0"/>
      </c:catAx>
      <c:valAx>
        <c:axId val="570247521"/>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087716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[淮北105批次.xlsx]Sheet2!$D$25</c:f>
              <c:strCache>
                <c:ptCount val="1"/>
                <c:pt idx="0">
                  <c:v>抽查批次数</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[淮北105批次.xlsx]Sheet2!$C$26:$C$32</c:f>
              <c:strCache>
                <c:ptCount val="7"/>
                <c:pt idx="0">
                  <c:v>燃气用具相关</c:v>
                </c:pt>
                <c:pt idx="1">
                  <c:v>烟花爆竹</c:v>
                </c:pt>
                <c:pt idx="2">
                  <c:v>消防产品</c:v>
                </c:pt>
                <c:pt idx="3">
                  <c:v>防护用品</c:v>
                </c:pt>
                <c:pt idx="4">
                  <c:v>电动车及其配件</c:v>
                </c:pt>
                <c:pt idx="5">
                  <c:v>插头插座</c:v>
                </c:pt>
                <c:pt idx="6">
                  <c:v>汽车风窗玻璃清洗液</c:v>
                </c:pt>
              </c:strCache>
            </c:strRef>
          </c:cat>
          <c:val>
            <c:numRef>
              <c:f>[淮北105批次.xlsx]Sheet2!$D$26:$D$32</c:f>
              <c:numCache>
                <c:formatCode>General</c:formatCode>
                <c:ptCount val="7"/>
                <c:pt idx="0">
                  <c:v>15</c:v>
                </c:pt>
                <c:pt idx="1">
                  <c:v>10</c:v>
                </c:pt>
                <c:pt idx="2">
                  <c:v>25</c:v>
                </c:pt>
                <c:pt idx="3">
                  <c:v>14</c:v>
                </c:pt>
                <c:pt idx="4">
                  <c:v>26</c:v>
                </c:pt>
                <c:pt idx="5">
                  <c:v>5</c:v>
                </c:pt>
                <c:pt idx="6">
                  <c:v>10</c:v>
                </c:pt>
              </c:numCache>
            </c:numRef>
          </c:val>
        </c:ser>
        <c:ser>
          <c:idx val="1"/>
          <c:order val="1"/>
          <c:tx>
            <c:strRef>
              <c:f>[淮北105批次.xlsx]Sheet2!$E$25</c:f>
              <c:strCache>
                <c:ptCount val="1"/>
                <c:pt idx="0">
                  <c:v>不合格批次数</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[淮北105批次.xlsx]Sheet2!$C$26:$C$32</c:f>
              <c:strCache>
                <c:ptCount val="7"/>
                <c:pt idx="0">
                  <c:v>燃气用具相关</c:v>
                </c:pt>
                <c:pt idx="1">
                  <c:v>烟花爆竹</c:v>
                </c:pt>
                <c:pt idx="2">
                  <c:v>消防产品</c:v>
                </c:pt>
                <c:pt idx="3">
                  <c:v>防护用品</c:v>
                </c:pt>
                <c:pt idx="4">
                  <c:v>电动车及其配件</c:v>
                </c:pt>
                <c:pt idx="5">
                  <c:v>插头插座</c:v>
                </c:pt>
                <c:pt idx="6">
                  <c:v>汽车风窗玻璃清洗液</c:v>
                </c:pt>
              </c:strCache>
            </c:strRef>
          </c:cat>
          <c:val>
            <c:numRef>
              <c:f>[淮北105批次.xlsx]Sheet2!$E$26:$E$32</c:f>
              <c:numCache>
                <c:formatCode>General</c:formatCode>
                <c:ptCount val="7"/>
                <c:pt idx="0">
                  <c:v>5</c:v>
                </c:pt>
                <c:pt idx="1">
                  <c:v>0</c:v>
                </c:pt>
                <c:pt idx="2">
                  <c:v>3</c:v>
                </c:pt>
                <c:pt idx="3">
                  <c:v>1</c:v>
                </c:pt>
                <c:pt idx="4">
                  <c:v>5</c:v>
                </c:pt>
                <c:pt idx="5">
                  <c:v>0</c:v>
                </c:pt>
                <c:pt idx="6">
                  <c:v>0</c:v>
                </c:pt>
              </c:numCache>
            </c:numRef>
          </c:val>
        </c:ser>
        <c:dLbls>
          <c:showLegendKey val="0"/>
          <c:showVal val="1"/>
          <c:showCatName val="0"/>
          <c:showSerName val="0"/>
          <c:showPercent val="0"/>
          <c:showBubbleSize val="0"/>
        </c:dLbls>
        <c:gapWidth val="150"/>
        <c:overlap val="0"/>
        <c:axId val="390285444"/>
        <c:axId val="753982458"/>
      </c:barChart>
      <c:lineChart>
        <c:grouping val="standard"/>
        <c:varyColors val="0"/>
        <c:ser>
          <c:idx val="2"/>
          <c:order val="2"/>
          <c:tx>
            <c:strRef>
              <c:f>[淮北105批次.xlsx]Sheet2!$F$25</c:f>
              <c:strCache>
                <c:ptCount val="1"/>
                <c:pt idx="0">
                  <c:v>不合格发现率%</c:v>
                </c:pt>
              </c:strCache>
            </c:strRef>
          </c:tx>
          <c:spPr>
            <a:ln w="28575" cap="rnd">
              <a:solidFill>
                <a:srgbClr val="9BBB59"/>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[淮北105批次.xlsx]Sheet2!$C$26:$C$32</c:f>
              <c:strCache>
                <c:ptCount val="7"/>
                <c:pt idx="0">
                  <c:v>燃气用具相关</c:v>
                </c:pt>
                <c:pt idx="1">
                  <c:v>烟花爆竹</c:v>
                </c:pt>
                <c:pt idx="2">
                  <c:v>消防产品</c:v>
                </c:pt>
                <c:pt idx="3">
                  <c:v>防护用品</c:v>
                </c:pt>
                <c:pt idx="4">
                  <c:v>电动车及其配件</c:v>
                </c:pt>
                <c:pt idx="5">
                  <c:v>插头插座</c:v>
                </c:pt>
                <c:pt idx="6">
                  <c:v>汽车风窗玻璃清洗液</c:v>
                </c:pt>
              </c:strCache>
            </c:strRef>
          </c:cat>
          <c:val>
            <c:numRef>
              <c:f>[淮北105批次.xlsx]Sheet2!$F$26:$F$32</c:f>
              <c:numCache>
                <c:formatCode>General</c:formatCode>
                <c:ptCount val="7"/>
                <c:pt idx="0">
                  <c:v>33.33</c:v>
                </c:pt>
                <c:pt idx="1">
                  <c:v>0</c:v>
                </c:pt>
                <c:pt idx="2">
                  <c:v>12</c:v>
                </c:pt>
                <c:pt idx="3">
                  <c:v>7.14</c:v>
                </c:pt>
                <c:pt idx="4">
                  <c:v>19.23</c:v>
                </c:pt>
                <c:pt idx="5">
                  <c:v>0</c:v>
                </c:pt>
                <c:pt idx="6">
                  <c:v>0</c:v>
                </c:pt>
              </c:numCache>
            </c:numRef>
          </c:val>
          <c:smooth val="0"/>
        </c:ser>
        <c:dLbls>
          <c:showLegendKey val="0"/>
          <c:showVal val="1"/>
          <c:showCatName val="0"/>
          <c:showSerName val="0"/>
          <c:showPercent val="0"/>
          <c:showBubbleSize val="0"/>
        </c:dLbls>
        <c:marker val="0"/>
        <c:smooth val="0"/>
        <c:axId val="467499034"/>
        <c:axId val="803113199"/>
      </c:lineChart>
      <c:catAx>
        <c:axId val="39028544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53982458"/>
        <c:crosses val="autoZero"/>
        <c:auto val="1"/>
        <c:lblAlgn val="ctr"/>
        <c:lblOffset val="100"/>
        <c:noMultiLvlLbl val="0"/>
      </c:catAx>
      <c:valAx>
        <c:axId val="753982458"/>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90285444"/>
        <c:crosses val="autoZero"/>
        <c:crossBetween val="between"/>
      </c:valAx>
      <c:catAx>
        <c:axId val="467499034"/>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03113199"/>
        <c:crosses val="autoZero"/>
        <c:auto val="1"/>
        <c:lblAlgn val="ctr"/>
        <c:lblOffset val="100"/>
        <c:noMultiLvlLbl val="0"/>
      </c:catAx>
      <c:valAx>
        <c:axId val="803113199"/>
        <c:scaling>
          <c:orientation val="minMax"/>
        </c:scaling>
        <c:delete val="1"/>
        <c:axPos val="r"/>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6749903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[淮北105批次.xlsx]Sheet2!$C$26:$C$32</c:f>
              <c:strCache>
                <c:ptCount val="7"/>
                <c:pt idx="0">
                  <c:v>燃气用具相关</c:v>
                </c:pt>
                <c:pt idx="1">
                  <c:v>烟花爆竹</c:v>
                </c:pt>
                <c:pt idx="2">
                  <c:v>消防产品</c:v>
                </c:pt>
                <c:pt idx="3">
                  <c:v>防护用品</c:v>
                </c:pt>
                <c:pt idx="4">
                  <c:v>电动车及其配件</c:v>
                </c:pt>
                <c:pt idx="5">
                  <c:v>插头插座</c:v>
                </c:pt>
                <c:pt idx="6">
                  <c:v>汽车风窗玻璃清洗液</c:v>
                </c:pt>
              </c:strCache>
            </c:strRef>
          </c:cat>
          <c:val>
            <c:numRef>
              <c:f>[淮北105批次.xlsx]Sheet2!$D$26:$D$32</c:f>
            </c:numRef>
          </c:val>
        </c:ser>
        <c:ser>
          <c:idx val="1"/>
          <c:order val="1"/>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[淮北105批次.xlsx]Sheet2!$C$26:$C$32</c:f>
              <c:strCache>
                <c:ptCount val="7"/>
                <c:pt idx="0">
                  <c:v>燃气用具相关</c:v>
                </c:pt>
                <c:pt idx="1">
                  <c:v>烟花爆竹</c:v>
                </c:pt>
                <c:pt idx="2">
                  <c:v>消防产品</c:v>
                </c:pt>
                <c:pt idx="3">
                  <c:v>防护用品</c:v>
                </c:pt>
                <c:pt idx="4">
                  <c:v>电动车及其配件</c:v>
                </c:pt>
                <c:pt idx="5">
                  <c:v>插头插座</c:v>
                </c:pt>
                <c:pt idx="6">
                  <c:v>汽车风窗玻璃清洗液</c:v>
                </c:pt>
              </c:strCache>
            </c:strRef>
          </c:cat>
          <c:val>
            <c:numRef>
              <c:f>[淮北105批次.xlsx]Sheet2!$E$26:$E$32</c:f>
            </c:numRef>
          </c:val>
        </c:ser>
        <c:ser>
          <c:idx val="2"/>
          <c:order val="2"/>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[淮北105批次.xlsx]Sheet2!$C$26:$C$32</c:f>
              <c:strCache>
                <c:ptCount val="7"/>
                <c:pt idx="0">
                  <c:v>燃气用具相关</c:v>
                </c:pt>
                <c:pt idx="1">
                  <c:v>烟花爆竹</c:v>
                </c:pt>
                <c:pt idx="2">
                  <c:v>消防产品</c:v>
                </c:pt>
                <c:pt idx="3">
                  <c:v>防护用品</c:v>
                </c:pt>
                <c:pt idx="4">
                  <c:v>电动车及其配件</c:v>
                </c:pt>
                <c:pt idx="5">
                  <c:v>插头插座</c:v>
                </c:pt>
                <c:pt idx="6">
                  <c:v>汽车风窗玻璃清洗液</c:v>
                </c:pt>
              </c:strCache>
            </c:strRef>
          </c:cat>
          <c:val>
            <c:numRef>
              <c:f>[淮北105批次.xlsx]Sheet2!$F$26:$F$32</c:f>
            </c:numRef>
          </c:val>
        </c:ser>
        <c:ser>
          <c:idx val="3"/>
          <c:order val="3"/>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[淮北105批次.xlsx]Sheet2!$C$26:$C$32</c:f>
              <c:strCache>
                <c:ptCount val="7"/>
                <c:pt idx="0">
                  <c:v>燃气用具相关</c:v>
                </c:pt>
                <c:pt idx="1">
                  <c:v>烟花爆竹</c:v>
                </c:pt>
                <c:pt idx="2">
                  <c:v>消防产品</c:v>
                </c:pt>
                <c:pt idx="3">
                  <c:v>防护用品</c:v>
                </c:pt>
                <c:pt idx="4">
                  <c:v>电动车及其配件</c:v>
                </c:pt>
                <c:pt idx="5">
                  <c:v>插头插座</c:v>
                </c:pt>
                <c:pt idx="6">
                  <c:v>汽车风窗玻璃清洗液</c:v>
                </c:pt>
              </c:strCache>
            </c:strRef>
          </c:cat>
          <c:val>
            <c:numRef>
              <c:f>[淮北105批次.xlsx]Sheet2!$G$26:$G$32</c:f>
            </c:numRef>
          </c:val>
        </c:ser>
        <c:ser>
          <c:idx val="4"/>
          <c:order val="4"/>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[淮北105批次.xlsx]Sheet2!$C$26:$C$32</c:f>
              <c:strCache>
                <c:ptCount val="7"/>
                <c:pt idx="0">
                  <c:v>燃气用具相关</c:v>
                </c:pt>
                <c:pt idx="1">
                  <c:v>烟花爆竹</c:v>
                </c:pt>
                <c:pt idx="2">
                  <c:v>消防产品</c:v>
                </c:pt>
                <c:pt idx="3">
                  <c:v>防护用品</c:v>
                </c:pt>
                <c:pt idx="4">
                  <c:v>电动车及其配件</c:v>
                </c:pt>
                <c:pt idx="5">
                  <c:v>插头插座</c:v>
                </c:pt>
                <c:pt idx="6">
                  <c:v>汽车风窗玻璃清洗液</c:v>
                </c:pt>
              </c:strCache>
            </c:strRef>
          </c:cat>
          <c:val>
            <c:numRef>
              <c:f>[淮北105批次.xlsx]Sheet2!$H$26:$H$32</c:f>
              <c:numCache>
                <c:formatCode>0.00%</c:formatCode>
                <c:ptCount val="7"/>
                <c:pt idx="0">
                  <c:v>0.142857142857143</c:v>
                </c:pt>
                <c:pt idx="1">
                  <c:v>0.0952380952380952</c:v>
                </c:pt>
                <c:pt idx="2">
                  <c:v>0.238095238095238</c:v>
                </c:pt>
                <c:pt idx="3">
                  <c:v>0.133333333333333</c:v>
                </c:pt>
                <c:pt idx="4">
                  <c:v>0.247619047619048</c:v>
                </c:pt>
                <c:pt idx="5">
                  <c:v>0.0476190476190476</c:v>
                </c:pt>
                <c:pt idx="6">
                  <c:v>0.0952380952380952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[淮北105批次.xlsx]Sheet2!$M$7</c:f>
              <c:strCache>
                <c:ptCount val="1"/>
                <c:pt idx="0">
                  <c:v>抽查企业数</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[淮北105批次.xlsx]Sheet2!$L$8:$L$11</c:f>
              <c:strCache>
                <c:ptCount val="4"/>
                <c:pt idx="0">
                  <c:v>濉溪县</c:v>
                </c:pt>
                <c:pt idx="1">
                  <c:v>杜集区</c:v>
                </c:pt>
                <c:pt idx="2">
                  <c:v>相山区</c:v>
                </c:pt>
                <c:pt idx="3">
                  <c:v>烈山区</c:v>
                </c:pt>
              </c:strCache>
            </c:strRef>
          </c:cat>
          <c:val>
            <c:numRef>
              <c:f>[淮北105批次.xlsx]Sheet2!$M$8:$M$11</c:f>
              <c:numCache>
                <c:formatCode>General</c:formatCode>
                <c:ptCount val="4"/>
                <c:pt idx="0">
                  <c:v>15</c:v>
                </c:pt>
                <c:pt idx="1">
                  <c:v>14</c:v>
                </c:pt>
                <c:pt idx="2">
                  <c:v>22</c:v>
                </c:pt>
                <c:pt idx="3">
                  <c:v>4</c:v>
                </c:pt>
              </c:numCache>
            </c:numRef>
          </c:val>
        </c:ser>
        <c:ser>
          <c:idx val="1"/>
          <c:order val="1"/>
          <c:tx>
            <c:strRef>
              <c:f>[淮北105批次.xlsx]Sheet2!$N$7</c:f>
              <c:strCache>
                <c:ptCount val="1"/>
                <c:pt idx="0">
                  <c:v>不合格企业数</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[淮北105批次.xlsx]Sheet2!$L$8:$L$11</c:f>
              <c:strCache>
                <c:ptCount val="4"/>
                <c:pt idx="0">
                  <c:v>濉溪县</c:v>
                </c:pt>
                <c:pt idx="1">
                  <c:v>杜集区</c:v>
                </c:pt>
                <c:pt idx="2">
                  <c:v>相山区</c:v>
                </c:pt>
                <c:pt idx="3">
                  <c:v>烈山区</c:v>
                </c:pt>
              </c:strCache>
            </c:strRef>
          </c:cat>
          <c:val>
            <c:numRef>
              <c:f>[淮北105批次.xlsx]Sheet2!$N$8:$N$11</c:f>
              <c:numCache>
                <c:formatCode>General</c:formatCode>
                <c:ptCount val="4"/>
                <c:pt idx="0">
                  <c:v>6</c:v>
                </c:pt>
                <c:pt idx="1">
                  <c:v>2</c:v>
                </c:pt>
                <c:pt idx="2">
                  <c:v>3</c:v>
                </c:pt>
                <c:pt idx="3">
                  <c:v>1</c:v>
                </c:pt>
              </c:numCache>
            </c:numRef>
          </c:val>
        </c:ser>
        <c:dLbls>
          <c:showLegendKey val="0"/>
          <c:showVal val="1"/>
          <c:showCatName val="0"/>
          <c:showSerName val="0"/>
          <c:showPercent val="0"/>
          <c:showBubbleSize val="0"/>
        </c:dLbls>
        <c:gapWidth val="150"/>
        <c:overlap val="0"/>
        <c:axId val="235770710"/>
        <c:axId val="381816022"/>
      </c:barChart>
      <c:lineChart>
        <c:grouping val="standard"/>
        <c:varyColors val="0"/>
        <c:ser>
          <c:idx val="2"/>
          <c:order val="2"/>
          <c:tx>
            <c:strRef>
              <c:f>[淮北105批次.xlsx]Sheet2!$O$7</c:f>
              <c:strCache>
                <c:ptCount val="1"/>
                <c:pt idx="0">
                  <c:v>企业抽查不合格率（%）</c:v>
                </c:pt>
              </c:strCache>
            </c:strRef>
          </c:tx>
          <c:spPr>
            <a:ln w="28575" cap="rnd">
              <a:solidFill>
                <a:srgbClr val="9BBB59"/>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[淮北105批次.xlsx]Sheet2!$L$8:$L$11</c:f>
              <c:strCache>
                <c:ptCount val="4"/>
                <c:pt idx="0">
                  <c:v>濉溪县</c:v>
                </c:pt>
                <c:pt idx="1">
                  <c:v>杜集区</c:v>
                </c:pt>
                <c:pt idx="2">
                  <c:v>相山区</c:v>
                </c:pt>
                <c:pt idx="3">
                  <c:v>烈山区</c:v>
                </c:pt>
              </c:strCache>
            </c:strRef>
          </c:cat>
          <c:val>
            <c:numRef>
              <c:f>[淮北105批次.xlsx]Sheet2!$O$8:$O$11</c:f>
              <c:numCache>
                <c:formatCode>General</c:formatCode>
                <c:ptCount val="4"/>
                <c:pt idx="0">
                  <c:v>40</c:v>
                </c:pt>
                <c:pt idx="1">
                  <c:v>14.29</c:v>
                </c:pt>
                <c:pt idx="2">
                  <c:v>13.64</c:v>
                </c:pt>
                <c:pt idx="3">
                  <c:v>25</c:v>
                </c:pt>
              </c:numCache>
            </c:numRef>
          </c:val>
          <c:smooth val="0"/>
        </c:ser>
        <c:ser>
          <c:idx val="3"/>
          <c:order val="3"/>
          <c:tx>
            <c:strRef>
              <c:f>[淮北105批次.xlsx]Sheet2!$P$7</c:f>
              <c:strCache>
                <c:ptCount val="1"/>
                <c:pt idx="0">
                  <c:v>抽查样品数</c:v>
                </c:pt>
              </c:strCache>
            </c:strRef>
          </c:tx>
          <c:spPr>
            <a:ln w="28575" cap="rnd">
              <a:solidFill>
                <a:srgbClr val="8064A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[淮北105批次.xlsx]Sheet2!$L$8:$L$11</c:f>
              <c:strCache>
                <c:ptCount val="4"/>
                <c:pt idx="0">
                  <c:v>濉溪县</c:v>
                </c:pt>
                <c:pt idx="1">
                  <c:v>杜集区</c:v>
                </c:pt>
                <c:pt idx="2">
                  <c:v>相山区</c:v>
                </c:pt>
                <c:pt idx="3">
                  <c:v>烈山区</c:v>
                </c:pt>
              </c:strCache>
            </c:strRef>
          </c:cat>
          <c:val>
            <c:numRef>
              <c:f>[淮北105批次.xlsx]Sheet2!$P$8:$P$11</c:f>
              <c:numCache>
                <c:formatCode>General</c:formatCode>
                <c:ptCount val="4"/>
                <c:pt idx="0">
                  <c:v>27</c:v>
                </c:pt>
                <c:pt idx="1">
                  <c:v>21</c:v>
                </c:pt>
                <c:pt idx="2">
                  <c:v>53</c:v>
                </c:pt>
                <c:pt idx="3">
                  <c:v>4</c:v>
                </c:pt>
              </c:numCache>
            </c:numRef>
          </c:val>
          <c:smooth val="0"/>
        </c:ser>
        <c:ser>
          <c:idx val="4"/>
          <c:order val="4"/>
          <c:tx>
            <c:strRef>
              <c:f>[淮北105批次.xlsx]Sheet2!$Q$7</c:f>
              <c:strCache>
                <c:ptCount val="1"/>
                <c:pt idx="0">
                  <c:v>不合格样品数</c:v>
                </c:pt>
              </c:strCache>
            </c:strRef>
          </c:tx>
          <c:spPr>
            <a:ln w="28575" cap="rnd">
              <a:solidFill>
                <a:srgbClr val="4BACC6"/>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[淮北105批次.xlsx]Sheet2!$L$8:$L$11</c:f>
              <c:strCache>
                <c:ptCount val="4"/>
                <c:pt idx="0">
                  <c:v>濉溪县</c:v>
                </c:pt>
                <c:pt idx="1">
                  <c:v>杜集区</c:v>
                </c:pt>
                <c:pt idx="2">
                  <c:v>相山区</c:v>
                </c:pt>
                <c:pt idx="3">
                  <c:v>烈山区</c:v>
                </c:pt>
              </c:strCache>
            </c:strRef>
          </c:cat>
          <c:val>
            <c:numRef>
              <c:f>[淮北105批次.xlsx]Sheet2!$Q$8:$Q$11</c:f>
              <c:numCache>
                <c:formatCode>General</c:formatCode>
                <c:ptCount val="4"/>
                <c:pt idx="0">
                  <c:v>7</c:v>
                </c:pt>
                <c:pt idx="1">
                  <c:v>2</c:v>
                </c:pt>
                <c:pt idx="2">
                  <c:v>4</c:v>
                </c:pt>
                <c:pt idx="3">
                  <c:v>1</c:v>
                </c:pt>
              </c:numCache>
            </c:numRef>
          </c:val>
          <c:smooth val="0"/>
        </c:ser>
        <c:ser>
          <c:idx val="5"/>
          <c:order val="5"/>
          <c:tx>
            <c:strRef>
              <c:f>[淮北105批次.xlsx]Sheet2!$R$7</c:f>
              <c:strCache>
                <c:ptCount val="1"/>
                <c:pt idx="0">
                  <c:v>抽样不合格率（%）</c:v>
                </c:pt>
              </c:strCache>
            </c:strRef>
          </c:tx>
          <c:spPr>
            <a:ln w="28575" cap="rnd">
              <a:solidFill>
                <a:srgbClr val="F79646"/>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[淮北105批次.xlsx]Sheet2!$L$8:$L$11</c:f>
              <c:strCache>
                <c:ptCount val="4"/>
                <c:pt idx="0">
                  <c:v>濉溪县</c:v>
                </c:pt>
                <c:pt idx="1">
                  <c:v>杜集区</c:v>
                </c:pt>
                <c:pt idx="2">
                  <c:v>相山区</c:v>
                </c:pt>
                <c:pt idx="3">
                  <c:v>烈山区</c:v>
                </c:pt>
              </c:strCache>
            </c:strRef>
          </c:cat>
          <c:val>
            <c:numRef>
              <c:f>[淮北105批次.xlsx]Sheet2!$R$8:$R$11</c:f>
              <c:numCache>
                <c:formatCode>General</c:formatCode>
                <c:ptCount val="4"/>
                <c:pt idx="0">
                  <c:v>25.93</c:v>
                </c:pt>
                <c:pt idx="1">
                  <c:v>9.52</c:v>
                </c:pt>
                <c:pt idx="2">
                  <c:v>7.55</c:v>
                </c:pt>
                <c:pt idx="3">
                  <c:v>25</c:v>
                </c:pt>
              </c:numCache>
            </c:numRef>
          </c:val>
          <c:smooth val="0"/>
        </c:ser>
        <c:dLbls>
          <c:showLegendKey val="0"/>
          <c:showVal val="1"/>
          <c:showCatName val="0"/>
          <c:showSerName val="0"/>
          <c:showPercent val="0"/>
          <c:showBubbleSize val="0"/>
        </c:dLbls>
        <c:marker val="0"/>
        <c:smooth val="0"/>
        <c:axId val="617598103"/>
        <c:axId val="373439078"/>
      </c:lineChart>
      <c:catAx>
        <c:axId val="235770710"/>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81816022"/>
        <c:crosses val="autoZero"/>
        <c:auto val="1"/>
        <c:lblAlgn val="ctr"/>
        <c:lblOffset val="100"/>
        <c:noMultiLvlLbl val="0"/>
      </c:catAx>
      <c:valAx>
        <c:axId val="38181602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35770710"/>
        <c:crosses val="autoZero"/>
        <c:crossBetween val="between"/>
      </c:valAx>
      <c:catAx>
        <c:axId val="617598103"/>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73439078"/>
        <c:crosses val="autoZero"/>
        <c:auto val="1"/>
        <c:lblAlgn val="ctr"/>
        <c:lblOffset val="100"/>
        <c:noMultiLvlLbl val="0"/>
      </c:catAx>
      <c:valAx>
        <c:axId val="373439078"/>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17598103"/>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[淮北105批次.xlsx]Sheet2!$U$8:$U$11</c:f>
              <c:strCache>
                <c:ptCount val="4"/>
                <c:pt idx="0">
                  <c:v>濉溪县</c:v>
                </c:pt>
                <c:pt idx="1">
                  <c:v>杜集区</c:v>
                </c:pt>
                <c:pt idx="2">
                  <c:v>相山区</c:v>
                </c:pt>
                <c:pt idx="3">
                  <c:v>烈山区</c:v>
                </c:pt>
              </c:strCache>
            </c:strRef>
          </c:cat>
          <c:val>
            <c:numRef>
              <c:f>[淮北105批次.xlsx]Sheet2!$V$8:$V$11</c:f>
              <c:numCache>
                <c:formatCode>0.00%</c:formatCode>
                <c:ptCount val="4"/>
                <c:pt idx="0">
                  <c:v>0.2727</c:v>
                </c:pt>
                <c:pt idx="1">
                  <c:v>0.2545</c:v>
                </c:pt>
                <c:pt idx="2" c:formatCode="0%">
                  <c:v>0.4</c:v>
                </c:pt>
                <c:pt idx="3">
                  <c:v>0.0727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2023-11-30T07:39:00Z</dcterms:created>
  <dc:creator>周明华</dc:creator>
  <cp:lastModifiedBy>周明华</cp:lastModifiedBy>
  <cp:lastPrinted>2023-11-30T07:51:48Z</cp:lastPrinted>
  <dcterms:modified xsi:type="dcterms:W3CDTF">2023-11-30T08:10:45Z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